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/>
      <w:bookmarkStart w:id="0" w:name="_GoBack"/>
      <w:r/>
      <w:bookmarkEnd w:id="0"/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  <w:t xml:space="preserve">ПРОЕКТ</w:t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jc w:val="right"/>
        <w:widowControl/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cs="Times New Roman" w:eastAsiaTheme="minorHAnsi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УТВЕРЖДЕН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А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приказом 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м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инистерства строительства</w:t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</w:r>
    </w:p>
    <w:p>
      <w:pPr>
        <w:ind w:left="5387"/>
        <w:jc w:val="center"/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pPr>
      <w:r>
        <w:rPr>
          <w:rFonts w:ascii="Times New Roman" w:hAnsi="Times New Roman" w:eastAsia="Times New Roman" w:cs="Tahoma"/>
          <w:color w:val="auto"/>
          <w:sz w:val="28"/>
          <w:szCs w:val="28"/>
          <w:lang w:eastAsia="en-US" w:bidi="ar-SA"/>
        </w:rPr>
        <w:t xml:space="preserve">Новосибирской области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</w:p>
    <w:p>
      <w:pPr>
        <w:ind w:left="5387"/>
        <w:jc w:val="center"/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pP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  <w:t xml:space="preserve">от______________ №___________</w:t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  <w:r>
        <w:rPr>
          <w:rFonts w:ascii="Times New Roman" w:hAnsi="Times New Roman" w:eastAsia="Arial Unicode MS" w:cs="Times New Roman"/>
          <w:color w:val="auto"/>
          <w:sz w:val="28"/>
          <w:szCs w:val="28"/>
          <w:lang w:eastAsia="hi-IN" w:bidi="hi-IN"/>
        </w:rPr>
      </w:r>
    </w:p>
    <w:p>
      <w:pPr>
        <w:pStyle w:val="985"/>
        <w:ind w:right="1"/>
        <w:jc w:val="center"/>
        <w:spacing w:before="0" w:line="240" w:lineRule="auto"/>
        <w:shd w:val="clear" w:color="auto" w:fill="auto"/>
        <w:tabs>
          <w:tab w:val="center" w:pos="9923" w:leader="none"/>
        </w:tabs>
      </w:pPr>
      <w:r/>
      <w:r/>
    </w:p>
    <w:p>
      <w:pPr>
        <w:pStyle w:val="985"/>
        <w:ind w:right="1"/>
        <w:jc w:val="center"/>
        <w:spacing w:before="0" w:line="240" w:lineRule="auto"/>
        <w:shd w:val="clear" w:color="auto" w:fill="auto"/>
        <w:tabs>
          <w:tab w:val="center" w:pos="9923" w:leader="none"/>
        </w:tabs>
      </w:pPr>
      <w:r/>
      <w:r/>
    </w:p>
    <w:p>
      <w:pPr>
        <w:pStyle w:val="985"/>
        <w:ind w:right="1"/>
        <w:jc w:val="center"/>
        <w:spacing w:before="0" w:line="240" w:lineRule="auto"/>
        <w:shd w:val="clear" w:color="auto" w:fill="auto"/>
        <w:tabs>
          <w:tab w:val="center" w:pos="9923" w:leader="none"/>
        </w:tabs>
      </w:pPr>
      <w:r/>
      <w:r/>
    </w:p>
    <w:p>
      <w:pPr>
        <w:ind w:firstLine="709"/>
        <w:jc w:val="center"/>
        <w:widowControl/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Программ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 профилактики рисков причинения вреда (ущерба) охраняемым законом ценностям на 202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5 год 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  <w:t xml:space="preserve">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lang w:bidi="ar-SA"/>
        </w:rPr>
      </w:r>
    </w:p>
    <w:p>
      <w:pPr>
        <w:ind w:firstLine="567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993"/>
        <w:ind w:left="0" w:firstLine="709"/>
        <w:jc w:val="both"/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5 год при осуществлении </w:t>
      </w:r>
      <w:r>
        <w:rPr>
          <w:rFonts w:ascii="Times New Roman" w:hAnsi="Times New Roman" w:cs="Times New Roman" w:eastAsiaTheme="minorEastAsia"/>
          <w:iCs/>
          <w:color w:val="auto"/>
          <w:sz w:val="28"/>
          <w:szCs w:val="28"/>
        </w:rPr>
        <w:t xml:space="preserve">регионального государственного контроля (надзора) в области долевого строительства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iCs/>
          <w:color w:val="auto"/>
          <w:sz w:val="28"/>
          <w:szCs w:val="28"/>
        </w:rPr>
        <w:t xml:space="preserve">многоквартирных домов и (или) иных объектов недвижимости на территории Новосибирской области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(далее - Программа) определяет мероприятия по профилактике рисков причинения вреда (ущерба) охраняемым законом ценностям в области долевого строительства многоквартирных домов и (или) иных объектов недвижимости на территории</w:t>
      </w:r>
      <w:r>
        <w:rPr>
          <w:rFonts w:ascii="Times New Roman" w:hAnsi="Times New Roman" w:cs="Times New Roman" w:eastAsiaTheme="minorEastAsia"/>
          <w:color w:val="auto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r>
      <w:r>
        <w:rPr>
          <w:rFonts w:ascii="Times New Roman" w:hAnsi="Times New Roman" w:cs="Times New Roman" w:eastAsiaTheme="minorEastAsia"/>
          <w:bCs/>
          <w:color w:val="auto"/>
          <w:sz w:val="28"/>
          <w:szCs w:val="28"/>
        </w:rPr>
      </w:r>
    </w:p>
    <w:p>
      <w:pPr>
        <w:jc w:val="center"/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color w:val="auto"/>
          <w:sz w:val="28"/>
          <w:szCs w:val="28"/>
          <w:lang w:bidi="ar-SA"/>
        </w:rPr>
      </w:r>
    </w:p>
    <w:p>
      <w:pPr>
        <w:pStyle w:val="993"/>
        <w:jc w:val="center"/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. 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текущего состояния осуществления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регионального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контроля (надзора) в области долевого строительства многоквартирных домов и (или) иных объектов недвижимости на территории Новосибирской области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связанной с привлечением денежных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участников долевого строительства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описание текущего уровня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азвития профилактической деятельности контрольно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го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надзорного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органа, характеристика проблем, на решение которых направлена Программа</w:t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r>
      <w:r>
        <w:rPr>
          <w:rFonts w:ascii="Times New Roman" w:hAnsi="Times New Roman" w:cs="Times New Roman" w:eastAsiaTheme="minorEastAsia"/>
          <w:b/>
          <w:color w:val="auto"/>
          <w:sz w:val="28"/>
          <w:szCs w:val="28"/>
          <w:lang w:bidi="ar-SA"/>
        </w:rPr>
      </w:r>
    </w:p>
    <w:p>
      <w:pPr>
        <w:ind w:firstLine="567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Предметом регионального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государственного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контроля (надзора) в  области долевого строительства многоквартирных домов и (или) иных объектов недвижимости является соблюдение лицами, привлекающими денежные средства участников долевого строительства для строительства (создания) многоквартирных домов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и (или) иных объектов недвижимости (далее – контролируемые лица), обязательных требований, установленных Федеральным закон № 214-ФЗ и принятыми в соответствии с ним иными нормативными правовыми актами Российской Федерации (далее – обязательные требования).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марте 2022 года в целях снижения административной нагрузки на хозяйствующие субъекты Правительством Российской Федерации принято 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</w:t>
      </w:r>
      <w:r>
        <w:fldChar w:fldCharType="begin"/>
      </w:r>
      <w:r>
        <w:instrText xml:space="preserve"> HYPERLINK "consultantplus://offline/ref=BDF7FD24B5C3F1F2372B6C31F1DAB925E3B355C8C6FBCFB5CB24F033132FFF972B468AA4CBA89D8499137E71E7M0e8H" </w:instrText>
      </w:r>
      <w:r>
        <w:fldChar w:fldCharType="separate"/>
      </w:r>
      <w:r>
        <w:rPr>
          <w:rStyle w:val="962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t xml:space="preserve">остановление</w:t>
      </w:r>
      <w:r>
        <w:rPr>
          <w:rStyle w:val="962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Правительства РФ от 10.03.2022 № 336 «Об особенностях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организации и осуществления государственного контроля (надзора), муниципального контроля» (далее - Постановление № 336).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Положениями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</w:t>
      </w:r>
      <w:r>
        <w:fldChar w:fldCharType="begin"/>
      </w:r>
      <w:r>
        <w:instrText xml:space="preserve"> HYPERLINK "consultantplus://offline/ref=BDF7FD24B5C3F1F2372B6C31F1DAB925E3B355C8C6FBCFB5CB24F033132FFF972B468AA4CBA89D8499137E71E7M0e8H" </w:instrText>
      </w:r>
      <w:r>
        <w:fldChar w:fldCharType="separate"/>
      </w:r>
      <w:r>
        <w:rPr>
          <w:rStyle w:val="962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t xml:space="preserve">остановления</w:t>
      </w:r>
      <w:r>
        <w:rPr>
          <w:rStyle w:val="962"/>
          <w:rFonts w:ascii="Times New Roman" w:hAnsi="Times New Roman" w:eastAsia="Times New Roman" w:cs="Times New Roman"/>
          <w:color w:val="auto"/>
          <w:sz w:val="28"/>
          <w:szCs w:val="28"/>
          <w:u w:val="none"/>
          <w:lang w:bidi="ar-SA"/>
        </w:rPr>
        <w:fldChar w:fldCharType="end"/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№ 336 установлены особенности осуществления видов государственного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контроля (надзора), муниципального контроля, к организации и осуществлению которых применяются положения Федерального закона от 31.07.2020 № 248-ФЗ «О государственном кон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троле (надзоре).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Учитывая изложенное, в Постановлении № 336 до конца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4 года введен мораторий на проведение плановых 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онтрольных (надзорных) мероприятий (далее - КНМ), за исключением отдельных объектов контроля чрезвычайного высокого риска, и опасных производственных объектов по некоторым видам контроля (надзора), а также введены ограничения на проведения внеплановых КНМ.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Положения Постановления № 336 допускают проведение профилактических мероприятий, мероприятий по профилактике нарушений обязательных требований в отношении контролируемых лиц в соответствии с Федеральным законом № 248-ФЗ.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Профилактические мероприятия направлены на повышение информированности предпринимательского сообщества о способах  соблюдения обязательных требований законодательства, а также устранение условий, причин и факторов, способных привести к их нарушению.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В настоящее время министерством проводятся: профилактические визиты в форме профилактической беседы по месту осуществления деятельности контролируемого лица, в ходе которых контролируемое лицо информируется об обязательных требованиях, предъявляе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мых к его деятельности,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;  мероприятия по региональному государственному контролю (надзору) в области долевого строительства многоквартирных домов и (или) иных объектов недвижимости без взаимодействия с контролируемым лицом.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По состоянию на 01.09.2024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проведено 126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контрольно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(надзорных) и профилактических мероприятий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По состоянию на 23.09.2024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на контроле министерства находится 651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многоквартирных домов, строительство которых осуществляется застройщиками с привлечением денежных средств участников долевого строительства.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При этом строительство лишь 19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многоквартирных домов ведется застройщиками путем привлечения денежных средств участников долевого строительства без размещения этих средств на счетах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эскроу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Основными проблемами являются несоблюдение контролируемыми лицами обязательных требований, а также неисполнение решений, принимаемых министерством по результатам контрольных (надзорных) мероприятий.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Программа предусматривает проведение министерством строительства Новосибирской области (далее - министерство) профилактических мероприятий, направленных на предупреждение нарушений 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бязательных требований, предусмотренных: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1) Федеральным законом № 214-ФЗ;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2) </w:t>
      </w:r>
      <w:hyperlink r:id="rId12" w:tooltip="Постановление Правительства РФ от 26.03.2019 N 319 (ред. от 28.08.2019) &quot;О единой информационной системе жилищного строительства&quot; (вместе с &quot;Требованиями к технологическим, программным, лингвистическим, правовым и организационным средствам обеспечения пользова" w:history="1">
        <w:r>
          <w:rPr>
            <w:rStyle w:val="962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bidi="ar-SA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26.03.2019 № 319 «О единой информационной системе жилищного строительства»;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3) </w:t>
      </w:r>
      <w:hyperlink r:id="rId13" w:tooltip="Постановление Правительства РФ от 26.12.2018 N 1683 (ред. от 13.03.2019) &quot;О нормативах финансовой устойчивости деятельности застройщика&quot; (вместе с &quot;Положением о нормативах финансовой устойчивости деятельности застройщика&quot;){КонсультантПлюс}" w:history="1">
        <w:r>
          <w:rPr>
            <w:rStyle w:val="962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bidi="ar-SA"/>
          </w:rPr>
          <w:t xml:space="preserve">постановление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Правительства Российской Федерации от 26.12.2018 №1683 «О нормативах финансовой устойчивости деятельности застройщика»;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</w:rPr>
        <w:t xml:space="preserve">4) </w:t>
      </w:r>
      <w:hyperlink r:id="rId14" w:tooltip="Приказ Минстроя России от 12.10.2018 N 656/пр &quot;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долевого строительства для строител" w:history="1">
        <w:r>
          <w:rPr>
            <w:rStyle w:val="962"/>
            <w:rFonts w:ascii="Times New Roman" w:hAnsi="Times New Roman" w:eastAsia="Times New Roman" w:cs="Times New Roman"/>
            <w:color w:val="auto"/>
            <w:sz w:val="28"/>
            <w:szCs w:val="28"/>
            <w:u w:val="none"/>
            <w:lang w:bidi="ar-SA"/>
          </w:rPr>
          <w:t xml:space="preserve">п</w:t>
        </w:r>
      </w:hyperlink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риказом Министерства строительства и жилищно-коммунального хозяйства Российской Федерации от 12.10.2018 № 656/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«Об утверждении формы и порядка предоставления застройщиками в контролирующий орган отчетности об осуществлении деятельности, связанной с привлечением денежных средств участников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долевого строительства для строительства (создания) многоквартирных домов и (или) иных объектов недвижимости, в том числе об исполнении примерных графиков реализации проектов строительства и своих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обязательств по договорам, сводной накопительной 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едомости проекта строительства»;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5) п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риказом Минстроя России от 20.12.2016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№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996/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пр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Об утверждении формы проектной декларации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Основными направлениями деятельности министерства как субъекта профилактики нарушений законодательства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в области долевого строительства в рамках своей компетенции является: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1) мониторинг законодательства в области долевого строительства и его изменений;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 определение преобладающих видов нарушений застройщиками требований законодательства в области долевого строительства;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3) определение приоритетных направлений профилактики правонарушений с учетом складывающейся ситуации в области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долевого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строительства;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4) планирование в сфере профилактики правонарушений с учетом фундаментальных изменений законодательства в области долевого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строительства в период с 2020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по 202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4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.;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5) размещение на сайте министерства перечней нормативных правовых актов или их отдельных частей, содержащих обязательные требования, оценка с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облюдения которых является предметом контроля (надзора), а также текстов соответствующих нормативных правовых актов; информации о проведенных проверках деятельности застройщика, за исключением сведений, доступ к которым органичен законодательством Российск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ой Федерации, а также сведений о вступивших в законную силу постановлениях контролирующего органа о привлечении застройщика, его должностных лиц к административной ответственности за нарушение требований законодательства об участии в долевом строительстве.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рамках основных направлений деятельности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министерством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осуществляется анализ ситуации в области строительства, информирование правоохранительных органов и прокуратуры о предпосыл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ках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возникновения ситуаций с нарушениями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застройщиков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прав участников строительства.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pStyle w:val="993"/>
        <w:ind w:left="0"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II. Цели и задачи реализации Программы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985"/>
        <w:ind w:left="567" w:firstLine="709"/>
        <w:jc w:val="both"/>
        <w:spacing w:before="0" w:line="310" w:lineRule="exact"/>
        <w:shd w:val="clear" w:color="auto" w:fill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10"/>
          <w:sz w:val="28"/>
          <w:szCs w:val="28"/>
        </w:rPr>
        <w:t xml:space="preserve">Ц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елями  реализации Программы являются: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) стимулирование добросовестного соблюдения обязательных требований всеми контролируемыми лицами;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3) 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Задачами реализации Программы являются: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contextualSpacing/>
        <w:ind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1) выявление причин и условий, способствующих нарушению обязательных требований, определение способов устранения или снижения рисков и их реализация;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contextualSpacing/>
        <w:ind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2) регулярный мониторинг обязательных требований и принятие мер к обеспечению обязательных требований, соблюдение которых составляет предмет конкретного вида государственного контроля (надзора);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contextualSpacing/>
        <w:ind w:right="20" w:firstLine="709"/>
        <w:jc w:val="both"/>
        <w:spacing w:line="310" w:lineRule="exact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3) повышение уровня правовой грамотности и формирование единообразного понимания обязательных требований в соответствующей сфере у всех участников контрольно-надзорной деятельности;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  <w:t xml:space="preserve">4) 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добросовестному поведению;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contextualSpacing/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5) вовлечение в деятельность по предупреждению нарушений законодательства в области долевого строительства граждан и организаций.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</w:p>
    <w:p>
      <w:pPr>
        <w:ind w:left="20" w:firstLine="709"/>
        <w:jc w:val="center"/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</w:rPr>
      </w:r>
    </w:p>
    <w:p>
      <w:pPr>
        <w:pStyle w:val="993"/>
        <w:ind w:right="140" w:firstLine="709"/>
        <w:jc w:val="center"/>
        <w:spacing w:line="240" w:lineRule="exact"/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lang w:val="en-US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Перечень профилактических мероприятий, сроки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</w:r>
    </w:p>
    <w:p>
      <w:pPr>
        <w:pStyle w:val="993"/>
        <w:ind w:right="140" w:firstLine="709"/>
        <w:jc w:val="center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(периодичность) их проведения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right="140" w:firstLine="709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tbl>
      <w:tblPr>
        <w:tblW w:w="9781" w:type="dxa"/>
        <w:tblInd w:w="108" w:type="dxa"/>
        <w:tblLayout w:type="fixed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3686"/>
        <w:gridCol w:w="2552"/>
        <w:gridCol w:w="170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Вид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ind w:firstLine="36"/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Форма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Подразделение и (или) должностные лица ответственные за реализацию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bidi="ar-SA"/>
              </w:rPr>
              <w:t xml:space="preserve">Сроки (периодичность) их проведения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Merge w:val="restart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vMerge w:val="restart"/>
            <w:textDirection w:val="lrTb"/>
            <w:noWrap w:val="false"/>
          </w:tcPr>
          <w:p>
            <w:pPr>
              <w:ind w:firstLine="8"/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Проведение публичных мероприятий (собраний, совещаний, семинаров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докладов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) с контролируемыми лицами в целях их информирования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по мере необходимости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16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Размещение и поддержание в актуальном состоян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ии на официальном сайт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е в сети «Интернет»  информации, перечень  которой предусмотрен п. 2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 Положения о региональном  государственном контроле (надзоре) в области долевого строительства многоквартирных домов и (или) иных объектов недвижимости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в области долевого строительства.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Ежегодно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не позднее одного месяца со дня вступления в силу нормативного правового акта, которым предусмотрены обязательные требования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Обобщение правоприменительной практики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Обобщение и анализ правоприменительной практики контрольно-надзорной деятельности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классификацией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причин возникновения типовых нарушений обязательных требований и размещение утвержденного доклада о правоприменительной практике на официальном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сайте,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с возможностью дальнейшего распространения в средствах массовой информации,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а также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информирование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общественн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совет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при министерстве строительства Новосибирской области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срок до 01.04.202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2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Объявление предостережения 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Объявление предостережений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о недопустимости нарушения обязательных требований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контролируемым лицам для целей принятия мер по обеспечению соблюдения обязательных требований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области долевого строительства.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 течение года в случае нарушения обязательных требований, при наличии оснований в соответствии с ч.1 ст.49 ФЗ № 248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  <w:p>
            <w:pPr>
              <w:spacing w:line="0" w:lineRule="atLeast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29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Консультирование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Проведение должностными лицами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консультаций.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Консультирование по вопросам, связан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ным с организацией и осуществлением регионального государственного контроля, порядком обжалования решений Министерства, действий (бездействия) его должностных лиц, порядком подачи возражений на предостережение о недопустимости нарушения обязательных требов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аний, применения положений действующего законодательства, возникающих у контролируемого лица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порядке, установленном Федеральным </w:t>
            </w:r>
            <w:hyperlink r:id="rId15" w:tooltip="about:blank" w:history="1">
              <w:r>
                <w:rPr>
                  <w:rStyle w:val="962"/>
                  <w:rFonts w:ascii="Times New Roman" w:hAnsi="Times New Roman" w:eastAsia="Times New Roman" w:cs="Times New Roman"/>
                  <w:color w:val="auto"/>
                  <w:sz w:val="22"/>
                  <w:szCs w:val="22"/>
                  <w:u w:val="none"/>
                  <w:lang w:bidi="ar-SA"/>
                </w:rPr>
                <w:t xml:space="preserve">законом</w:t>
              </w:r>
            </w:hyperlink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№ 59-ФЗ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bidi="ar-SA"/>
              </w:rPr>
              <w:t xml:space="preserve"> от 02.05.2006 «О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По мере поступления обращений в срок до 30 календарных дней со дня поступления обращений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</w:tr>
      <w:tr>
        <w:tblPrEx/>
        <w:trPr>
          <w:trHeight w:val="3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8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Профилактический визит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(обязательный профилактический визит)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ind w:firstLine="34"/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6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целях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обеспечения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  профилактических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визитов контролируемым лицам направляются уведомления о проведении профилактических визитов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Контролируемому лицу разъясняются обязательные требования действующего законодательства и необходимость их соблюдения. 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52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Отдел государственного контроля в области долевого строительства и отдел анализа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 в области долевого строительства.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0" w:type="dxa"/>
            <w:vAlign w:val="center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Обязательный профилактический визит осуществляется 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  <w:t xml:space="preserve">не позднее чем в течение одного года с момента начала такой деятельности.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r>
          </w:p>
        </w:tc>
      </w:tr>
    </w:tbl>
    <w:p>
      <w:pPr>
        <w:pStyle w:val="993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Министерство при проведении профилактических мероприятий осуществляет взаимодействие с </w:t>
      </w:r>
      <w:bookmarkStart w:id="1" w:name="_Hlk79066476"/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контролируемыми лицами</w:t>
      </w:r>
      <w:bookmarkEnd w:id="1"/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только в случаях,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установленных Федеральным законом от 31.07.2020 № 248-ФЗ «О государственном контроле (надзоре) и муниципальном контроле в Российской Федерации». При этом профилактические мероприятия, в ходе которых осуществляется взаимодействие с контролируемыми лицами,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проводятся только с согласия данных контролируемых лиц либо по их инициативе.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jc w:val="center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right="1" w:firstLine="709"/>
        <w:jc w:val="center"/>
        <w:spacing w:line="240" w:lineRule="exact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Раздел 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  <w:lang w:val="en-US"/>
        </w:rPr>
        <w:t xml:space="preserve">I</w:t>
      </w:r>
      <w:r>
        <w:rPr>
          <w:rFonts w:ascii="Times New Roman" w:hAnsi="Times New Roman" w:eastAsia="Times New Roman" w:cs="Times New Roman"/>
          <w:b/>
          <w:bCs/>
          <w:color w:val="auto"/>
          <w:spacing w:val="5"/>
          <w:sz w:val="28"/>
          <w:szCs w:val="28"/>
        </w:rPr>
        <w:t xml:space="preserve">V. Показатели результативности и эффективности Программы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17. 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Оценка эффективности Программы будет проведена по итогам работы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министерства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за каждый отчетный год.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Показатели эффективности: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Снижение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застройщиков, допустивших на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рушения обязательных требований;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Снижение 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профилактических мероприятий, результаты которых б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удут признаны недействительными;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Ожидаемый результат от реализации Программы.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Увеличение доли застройщиков, не допускающих нар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ушение обязательных требований;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Уменьшение администра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тивной нагрузки на застройщиков;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По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вышение уровня информированности застройщиков, лиц, привлекающих денежные средства граждан для строительства, физических и юридических лиц, участвующих в долевом строительстве и граждан, имеющих намерение заключить договоры участия в долевом строительстве.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Методика оценки эффективности Программы на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5 год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1) Снижение доли застройщиков, допустивших нарушения обязательных требований, рассчитывается как отношение количества застройщиков, в отношении которых при проведении контрольно-надзорных мероприятий не выявлены нарушения обязательных требован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ий, к общему числу застройщиков;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2) Снижение доли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профилактических мероприятий, результаты которых будут признаны недействительными, рассчитывается как отношение количества предостережений, в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отношении которых направлены застройщиками возражения, признанные обоснованными, к об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щему количеству предостережений.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ind w:right="1" w:firstLine="708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Оценка эффективности Программы будет проведена по итогам работы за каждый отчетный год.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18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Ожидаемый результат профилактической работы органа регионального государственного надзора на 202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5 год: снижение нарушений обязательных требований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снижение количества невыполненных 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предписаний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 увеличение количества профилактических мероприятий.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 w:firstLine="709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19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Ссылка на официальный сайт  министерства в сети «Интернет», на котором содержится информация о деятельности: </w:t>
      </w:r>
      <w:hyperlink r:id="rId16" w:tooltip="http://minstroy.nso.ru/page/5470" w:history="1">
        <w:r>
          <w:rPr>
            <w:rStyle w:val="962"/>
            <w:rFonts w:ascii="Times New Roman" w:hAnsi="Times New Roman" w:eastAsia="Times New Roman" w:cs="Times New Roman"/>
            <w:bCs/>
            <w:spacing w:val="5"/>
            <w:sz w:val="28"/>
            <w:szCs w:val="28"/>
            <w:u w:val="none"/>
          </w:rPr>
          <w:t xml:space="preserve">http://minstroy.nso.ru/page/5470</w:t>
        </w:r>
      </w:hyperlink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p>
      <w:pPr>
        <w:pStyle w:val="993"/>
        <w:ind w:left="0" w:right="1"/>
        <w:jc w:val="both"/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auto"/>
          <w:spacing w:val="5"/>
          <w:sz w:val="28"/>
          <w:szCs w:val="28"/>
        </w:rPr>
      </w:r>
    </w:p>
    <w:sectPr>
      <w:headerReference w:type="default" r:id="rId9"/>
      <w:headerReference w:type="first" r:id="rId10"/>
      <w:footnotePr/>
      <w:endnotePr/>
      <w:type w:val="nextPage"/>
      <w:pgSz w:w="11909" w:h="16838" w:orient="portrait"/>
      <w:pgMar w:top="1134" w:right="852" w:bottom="851" w:left="1418" w:header="142" w:footer="6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rdiaUPC">
    <w:panose1 w:val="020B0604020202020204"/>
  </w:font>
  <w:font w:name="Gulim">
    <w:panose1 w:val="020B0603020202020204"/>
  </w:font>
  <w:font w:name="Calibri">
    <w:panose1 w:val="020F0502020204030204"/>
  </w:font>
  <w:font w:name="Arial Narrow">
    <w:panose1 w:val="020B0604020202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ourier New">
    <w:panose1 w:val="020703090202050204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93369892"/>
      <w:docPartObj>
        <w:docPartGallery w:val="Page Numbers (Top of Page)"/>
        <w:docPartUnique w:val="true"/>
      </w:docPartObj>
      <w:rPr/>
    </w:sdtPr>
    <w:sdtContent>
      <w:p>
        <w:pPr>
          <w:pStyle w:val="99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- 2 -</w:t>
        </w:r>
        <w:r>
          <w:fldChar w:fldCharType="end"/>
        </w:r>
        <w:r/>
      </w:p>
    </w:sdtContent>
  </w:sdt>
  <w:p>
    <w:pPr>
      <w:pStyle w:val="9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alias w:val="Название"/>
      <w15:appearance w15:val="boundingBox"/>
      <w:id w:val="77738743"/>
      <w:placeholder>
        <w:docPart w:val="8116D19C969C4015ADE04E4AA18F493C"/>
      </w:placeholder>
      <w:rPr>
        <w:rFonts w:asciiTheme="majorHAnsi" w:hAnsiTheme="majorHAnsi" w:eastAsiaTheme="majorEastAsia" w:cstheme="majorBidi"/>
        <w:color w:val="ff0000"/>
        <w:sz w:val="32"/>
        <w:szCs w:val="32"/>
      </w:rPr>
    </w:sdtPr>
    <w:sdtContent>
      <w:p>
        <w:pPr>
          <w:pStyle w:val="998"/>
          <w:jc w:val="center"/>
          <w:rPr>
            <w:rFonts w:asciiTheme="majorHAnsi" w:hAnsiTheme="majorHAnsi" w:eastAsiaTheme="majorEastAsia" w:cstheme="majorBidi"/>
            <w:color w:val="ff0000"/>
            <w:sz w:val="32"/>
            <w:szCs w:val="32"/>
          </w:rPr>
          <w:pBdr>
            <w:bottom w:val="single" w:color="622423" w:themeColor="accent2" w:themeShade="7F" w:sz="24" w:space="1"/>
          </w:pBdr>
        </w:pPr>
        <w:r>
          <w:rPr>
            <w:rFonts w:asciiTheme="majorHAnsi" w:hAnsiTheme="majorHAnsi" w:eastAsiaTheme="majorEastAsia" w:cstheme="majorBidi"/>
            <w:color w:val="ff0000"/>
            <w:sz w:val="32"/>
            <w:szCs w:val="32"/>
          </w:rPr>
          <w:t xml:space="preserve">Электронная почта для направления предложений cra@nso.ru</w:t>
        </w:r>
        <w:r>
          <w:rPr>
            <w:rFonts w:asciiTheme="majorHAnsi" w:hAnsiTheme="majorHAnsi" w:eastAsiaTheme="majorEastAsia" w:cstheme="majorBidi"/>
            <w:color w:val="ff0000"/>
            <w:sz w:val="32"/>
            <w:szCs w:val="32"/>
          </w:rPr>
        </w:r>
        <w:r>
          <w:rPr>
            <w:rFonts w:asciiTheme="majorHAnsi" w:hAnsiTheme="majorHAnsi" w:eastAsiaTheme="majorEastAsia" w:cstheme="majorBidi"/>
            <w:color w:val="ff0000"/>
            <w:sz w:val="32"/>
            <w:szCs w:val="32"/>
          </w:rPr>
        </w:r>
      </w:p>
    </w:sdtContent>
  </w:sdt>
  <w:p>
    <w:pPr>
      <w:pStyle w:val="9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Courier New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347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)"/>
      <w:lvlJc w:val="left"/>
      <w:pPr>
        <w:ind w:left="10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2" w:hanging="180"/>
      </w:pPr>
    </w:lvl>
  </w:abstractNum>
  <w:abstractNum w:abstractNumId="12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7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4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1459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4" w:hanging="180"/>
      </w:pPr>
    </w:lvl>
  </w:abstractNum>
  <w:abstractNum w:abstractNumId="3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570" w:hanging="72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Theme="minorEastAsia"/>
        <w:color w:val="auto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14.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1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31"/>
  </w:num>
  <w:num w:numId="5">
    <w:abstractNumId w:val="3"/>
  </w:num>
  <w:num w:numId="6">
    <w:abstractNumId w:val="20"/>
  </w:num>
  <w:num w:numId="7">
    <w:abstractNumId w:val="42"/>
  </w:num>
  <w:num w:numId="8">
    <w:abstractNumId w:val="11"/>
  </w:num>
  <w:num w:numId="9">
    <w:abstractNumId w:val="35"/>
  </w:num>
  <w:num w:numId="10">
    <w:abstractNumId w:val="29"/>
  </w:num>
  <w:num w:numId="11">
    <w:abstractNumId w:val="39"/>
  </w:num>
  <w:num w:numId="12">
    <w:abstractNumId w:val="7"/>
  </w:num>
  <w:num w:numId="13">
    <w:abstractNumId w:val="40"/>
  </w:num>
  <w:num w:numId="14">
    <w:abstractNumId w:val="38"/>
  </w:num>
  <w:num w:numId="15">
    <w:abstractNumId w:val="17"/>
  </w:num>
  <w:num w:numId="16">
    <w:abstractNumId w:val="18"/>
  </w:num>
  <w:num w:numId="17">
    <w:abstractNumId w:val="37"/>
  </w:num>
  <w:num w:numId="18">
    <w:abstractNumId w:val="41"/>
  </w:num>
  <w:num w:numId="19">
    <w:abstractNumId w:val="1"/>
  </w:num>
  <w:num w:numId="20">
    <w:abstractNumId w:val="22"/>
  </w:num>
  <w:num w:numId="21">
    <w:abstractNumId w:val="24"/>
  </w:num>
  <w:num w:numId="22">
    <w:abstractNumId w:val="13"/>
  </w:num>
  <w:num w:numId="23">
    <w:abstractNumId w:val="9"/>
  </w:num>
  <w:num w:numId="24">
    <w:abstractNumId w:val="19"/>
  </w:num>
  <w:num w:numId="25">
    <w:abstractNumId w:val="6"/>
  </w:num>
  <w:num w:numId="26">
    <w:abstractNumId w:val="15"/>
  </w:num>
  <w:num w:numId="27">
    <w:abstractNumId w:val="32"/>
  </w:num>
  <w:num w:numId="28">
    <w:abstractNumId w:val="36"/>
  </w:num>
  <w:num w:numId="29">
    <w:abstractNumId w:val="33"/>
  </w:num>
  <w:num w:numId="30">
    <w:abstractNumId w:val="0"/>
  </w:num>
  <w:num w:numId="31">
    <w:abstractNumId w:val="16"/>
  </w:num>
  <w:num w:numId="32">
    <w:abstractNumId w:val="25"/>
  </w:num>
  <w:num w:numId="33">
    <w:abstractNumId w:val="2"/>
  </w:num>
  <w:num w:numId="34">
    <w:abstractNumId w:val="4"/>
  </w:num>
  <w:num w:numId="35">
    <w:abstractNumId w:val="28"/>
  </w:num>
  <w:num w:numId="36">
    <w:abstractNumId w:val="10"/>
  </w:num>
  <w:num w:numId="37">
    <w:abstractNumId w:val="26"/>
  </w:num>
  <w:num w:numId="38">
    <w:abstractNumId w:val="12"/>
  </w:num>
  <w:num w:numId="39">
    <w:abstractNumId w:val="34"/>
  </w:num>
  <w:num w:numId="40">
    <w:abstractNumId w:val="30"/>
  </w:num>
  <w:num w:numId="41">
    <w:abstractNumId w:val="14"/>
  </w:num>
  <w:num w:numId="42">
    <w:abstractNumId w:val="27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ourier New" w:hAnsi="Courier New" w:eastAsia="Courier New" w:cs="Courier New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5">
    <w:name w:val="Heading 1"/>
    <w:basedOn w:val="958"/>
    <w:next w:val="958"/>
    <w:link w:val="7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86">
    <w:name w:val="Heading 1 Char"/>
    <w:basedOn w:val="959"/>
    <w:link w:val="785"/>
    <w:uiPriority w:val="9"/>
    <w:rPr>
      <w:rFonts w:ascii="Arial" w:hAnsi="Arial" w:eastAsia="Arial" w:cs="Arial"/>
      <w:sz w:val="40"/>
      <w:szCs w:val="40"/>
    </w:rPr>
  </w:style>
  <w:style w:type="paragraph" w:styleId="787">
    <w:name w:val="Heading 2"/>
    <w:basedOn w:val="958"/>
    <w:next w:val="958"/>
    <w:link w:val="7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8">
    <w:name w:val="Heading 2 Char"/>
    <w:basedOn w:val="959"/>
    <w:link w:val="787"/>
    <w:uiPriority w:val="9"/>
    <w:rPr>
      <w:rFonts w:ascii="Arial" w:hAnsi="Arial" w:eastAsia="Arial" w:cs="Arial"/>
      <w:sz w:val="34"/>
    </w:rPr>
  </w:style>
  <w:style w:type="paragraph" w:styleId="789">
    <w:name w:val="Heading 3"/>
    <w:basedOn w:val="958"/>
    <w:next w:val="958"/>
    <w:link w:val="7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90">
    <w:name w:val="Heading 3 Char"/>
    <w:basedOn w:val="959"/>
    <w:link w:val="789"/>
    <w:uiPriority w:val="9"/>
    <w:rPr>
      <w:rFonts w:ascii="Arial" w:hAnsi="Arial" w:eastAsia="Arial" w:cs="Arial"/>
      <w:sz w:val="30"/>
      <w:szCs w:val="30"/>
    </w:rPr>
  </w:style>
  <w:style w:type="paragraph" w:styleId="791">
    <w:name w:val="Heading 4"/>
    <w:basedOn w:val="958"/>
    <w:next w:val="958"/>
    <w:link w:val="7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2">
    <w:name w:val="Heading 4 Char"/>
    <w:basedOn w:val="959"/>
    <w:link w:val="791"/>
    <w:uiPriority w:val="9"/>
    <w:rPr>
      <w:rFonts w:ascii="Arial" w:hAnsi="Arial" w:eastAsia="Arial" w:cs="Arial"/>
      <w:b/>
      <w:bCs/>
      <w:sz w:val="26"/>
      <w:szCs w:val="26"/>
    </w:rPr>
  </w:style>
  <w:style w:type="paragraph" w:styleId="793">
    <w:name w:val="Heading 5"/>
    <w:basedOn w:val="958"/>
    <w:next w:val="958"/>
    <w:link w:val="7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4">
    <w:name w:val="Heading 5 Char"/>
    <w:basedOn w:val="959"/>
    <w:link w:val="793"/>
    <w:uiPriority w:val="9"/>
    <w:rPr>
      <w:rFonts w:ascii="Arial" w:hAnsi="Arial" w:eastAsia="Arial" w:cs="Arial"/>
      <w:b/>
      <w:bCs/>
      <w:sz w:val="24"/>
      <w:szCs w:val="24"/>
    </w:rPr>
  </w:style>
  <w:style w:type="paragraph" w:styleId="795">
    <w:name w:val="Heading 6"/>
    <w:basedOn w:val="958"/>
    <w:next w:val="958"/>
    <w:link w:val="7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6">
    <w:name w:val="Heading 6 Char"/>
    <w:basedOn w:val="959"/>
    <w:link w:val="795"/>
    <w:uiPriority w:val="9"/>
    <w:rPr>
      <w:rFonts w:ascii="Arial" w:hAnsi="Arial" w:eastAsia="Arial" w:cs="Arial"/>
      <w:b/>
      <w:bCs/>
      <w:sz w:val="22"/>
      <w:szCs w:val="22"/>
    </w:rPr>
  </w:style>
  <w:style w:type="paragraph" w:styleId="797">
    <w:name w:val="Heading 7"/>
    <w:basedOn w:val="958"/>
    <w:next w:val="958"/>
    <w:link w:val="7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8">
    <w:name w:val="Heading 7 Char"/>
    <w:basedOn w:val="959"/>
    <w:link w:val="7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9">
    <w:name w:val="Heading 8"/>
    <w:basedOn w:val="958"/>
    <w:next w:val="958"/>
    <w:link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0">
    <w:name w:val="Heading 8 Char"/>
    <w:basedOn w:val="959"/>
    <w:link w:val="799"/>
    <w:uiPriority w:val="9"/>
    <w:rPr>
      <w:rFonts w:ascii="Arial" w:hAnsi="Arial" w:eastAsia="Arial" w:cs="Arial"/>
      <w:i/>
      <w:iCs/>
      <w:sz w:val="22"/>
      <w:szCs w:val="22"/>
    </w:rPr>
  </w:style>
  <w:style w:type="paragraph" w:styleId="801">
    <w:name w:val="Heading 9"/>
    <w:basedOn w:val="958"/>
    <w:next w:val="958"/>
    <w:link w:val="8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2">
    <w:name w:val="Heading 9 Char"/>
    <w:basedOn w:val="959"/>
    <w:link w:val="801"/>
    <w:uiPriority w:val="9"/>
    <w:rPr>
      <w:rFonts w:ascii="Arial" w:hAnsi="Arial" w:eastAsia="Arial" w:cs="Arial"/>
      <w:i/>
      <w:iCs/>
      <w:sz w:val="21"/>
      <w:szCs w:val="21"/>
    </w:rPr>
  </w:style>
  <w:style w:type="paragraph" w:styleId="803">
    <w:name w:val="No Spacing"/>
    <w:uiPriority w:val="1"/>
    <w:qFormat/>
    <w:pPr>
      <w:spacing w:before="0" w:after="0" w:line="240" w:lineRule="auto"/>
    </w:pPr>
  </w:style>
  <w:style w:type="paragraph" w:styleId="804">
    <w:name w:val="Title"/>
    <w:basedOn w:val="958"/>
    <w:next w:val="958"/>
    <w:link w:val="8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5">
    <w:name w:val="Title Char"/>
    <w:basedOn w:val="959"/>
    <w:link w:val="804"/>
    <w:uiPriority w:val="10"/>
    <w:rPr>
      <w:sz w:val="48"/>
      <w:szCs w:val="48"/>
    </w:rPr>
  </w:style>
  <w:style w:type="paragraph" w:styleId="806">
    <w:name w:val="Subtitle"/>
    <w:basedOn w:val="958"/>
    <w:next w:val="958"/>
    <w:link w:val="807"/>
    <w:uiPriority w:val="11"/>
    <w:qFormat/>
    <w:pPr>
      <w:spacing w:before="200" w:after="200"/>
    </w:pPr>
    <w:rPr>
      <w:sz w:val="24"/>
      <w:szCs w:val="24"/>
    </w:rPr>
  </w:style>
  <w:style w:type="character" w:styleId="807">
    <w:name w:val="Subtitle Char"/>
    <w:basedOn w:val="959"/>
    <w:link w:val="806"/>
    <w:uiPriority w:val="11"/>
    <w:rPr>
      <w:sz w:val="24"/>
      <w:szCs w:val="24"/>
    </w:rPr>
  </w:style>
  <w:style w:type="paragraph" w:styleId="808">
    <w:name w:val="Quote"/>
    <w:basedOn w:val="958"/>
    <w:next w:val="958"/>
    <w:link w:val="809"/>
    <w:uiPriority w:val="29"/>
    <w:qFormat/>
    <w:pPr>
      <w:ind w:left="720" w:right="720"/>
    </w:pPr>
    <w:rPr>
      <w:i/>
    </w:rPr>
  </w:style>
  <w:style w:type="character" w:styleId="809">
    <w:name w:val="Quote Char"/>
    <w:link w:val="808"/>
    <w:uiPriority w:val="29"/>
    <w:rPr>
      <w:i/>
    </w:rPr>
  </w:style>
  <w:style w:type="paragraph" w:styleId="810">
    <w:name w:val="Intense Quote"/>
    <w:basedOn w:val="958"/>
    <w:next w:val="958"/>
    <w:link w:val="8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1">
    <w:name w:val="Intense Quote Char"/>
    <w:link w:val="810"/>
    <w:uiPriority w:val="30"/>
    <w:rPr>
      <w:i/>
    </w:rPr>
  </w:style>
  <w:style w:type="character" w:styleId="812">
    <w:name w:val="Header Char"/>
    <w:basedOn w:val="959"/>
    <w:link w:val="998"/>
    <w:uiPriority w:val="99"/>
  </w:style>
  <w:style w:type="character" w:styleId="813">
    <w:name w:val="Footer Char"/>
    <w:basedOn w:val="959"/>
    <w:link w:val="1000"/>
    <w:uiPriority w:val="99"/>
  </w:style>
  <w:style w:type="paragraph" w:styleId="814">
    <w:name w:val="Caption"/>
    <w:basedOn w:val="958"/>
    <w:next w:val="9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5">
    <w:name w:val="Caption Char"/>
    <w:basedOn w:val="814"/>
    <w:link w:val="1000"/>
    <w:uiPriority w:val="99"/>
  </w:style>
  <w:style w:type="table" w:styleId="816">
    <w:name w:val="Table Grid Light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Plain Table 1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8">
    <w:name w:val="Plain Table 2"/>
    <w:basedOn w:val="9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0">
    <w:name w:val="Plain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Plain Table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2">
    <w:name w:val="Grid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4">
    <w:name w:val="Grid Table 4 - Accent 1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5">
    <w:name w:val="Grid Table 4 - Accent 2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Grid Table 4 - Accent 3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7">
    <w:name w:val="Grid Table 4 - Accent 4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Grid Table 4 - Accent 5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9">
    <w:name w:val="Grid Table 4 - Accent 6"/>
    <w:basedOn w:val="9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0">
    <w:name w:val="Grid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1">
    <w:name w:val="Grid Table 5 Dark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2">
    <w:name w:val="Grid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4">
    <w:name w:val="Grid Table 5 Dark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5">
    <w:name w:val="Grid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7">
    <w:name w:val="Grid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8">
    <w:name w:val="Grid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9">
    <w:name w:val="Grid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0">
    <w:name w:val="Grid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1">
    <w:name w:val="Grid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2">
    <w:name w:val="Grid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3">
    <w:name w:val="Grid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9">
    <w:name w:val="List Table 2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0">
    <w:name w:val="List Table 2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1">
    <w:name w:val="List Table 2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2">
    <w:name w:val="List Table 2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3">
    <w:name w:val="List Table 2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4">
    <w:name w:val="List Table 2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5">
    <w:name w:val="List Table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5 Dark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6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7">
    <w:name w:val="List Table 6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8">
    <w:name w:val="List Table 6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9">
    <w:name w:val="List Table 6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0">
    <w:name w:val="List Table 6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1">
    <w:name w:val="List Table 6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2">
    <w:name w:val="List Table 6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3">
    <w:name w:val="List Table 7 Colorful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4">
    <w:name w:val="List Table 7 Colorful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5">
    <w:name w:val="List Table 7 Colorful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6">
    <w:name w:val="List Table 7 Colorful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7">
    <w:name w:val="List Table 7 Colorful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8">
    <w:name w:val="List Table 7 Colorful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9">
    <w:name w:val="List Table 7 Colorful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0">
    <w:name w:val="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1">
    <w:name w:val="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2">
    <w:name w:val="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3">
    <w:name w:val="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4">
    <w:name w:val="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5">
    <w:name w:val="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6">
    <w:name w:val="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7">
    <w:name w:val="Bordered &amp; Lined - Accent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8">
    <w:name w:val="Bordered &amp; Lined - Accent 1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9">
    <w:name w:val="Bordered &amp; Lined - Accent 2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0">
    <w:name w:val="Bordered &amp; Lined - Accent 3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1">
    <w:name w:val="Bordered &amp; Lined - Accent 4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2">
    <w:name w:val="Bordered &amp; Lined - Accent 5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3">
    <w:name w:val="Bordered &amp; Lined - Accent 6"/>
    <w:basedOn w:val="9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4">
    <w:name w:val="Bordered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5">
    <w:name w:val="Bordered - Accent 1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6">
    <w:name w:val="Bordered - Accent 2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7">
    <w:name w:val="Bordered - Accent 3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8">
    <w:name w:val="Bordered - Accent 4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9">
    <w:name w:val="Bordered - Accent 5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0">
    <w:name w:val="Bordered - Accent 6"/>
    <w:basedOn w:val="9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41">
    <w:name w:val="footnote text"/>
    <w:basedOn w:val="958"/>
    <w:link w:val="942"/>
    <w:uiPriority w:val="99"/>
    <w:semiHidden/>
    <w:unhideWhenUsed/>
    <w:pPr>
      <w:spacing w:after="40" w:line="240" w:lineRule="auto"/>
    </w:pPr>
    <w:rPr>
      <w:sz w:val="18"/>
    </w:rPr>
  </w:style>
  <w:style w:type="character" w:styleId="942">
    <w:name w:val="Footnote Text Char"/>
    <w:link w:val="941"/>
    <w:uiPriority w:val="99"/>
    <w:rPr>
      <w:sz w:val="18"/>
    </w:rPr>
  </w:style>
  <w:style w:type="character" w:styleId="943">
    <w:name w:val="footnote reference"/>
    <w:basedOn w:val="959"/>
    <w:uiPriority w:val="99"/>
    <w:unhideWhenUsed/>
    <w:rPr>
      <w:vertAlign w:val="superscript"/>
    </w:rPr>
  </w:style>
  <w:style w:type="paragraph" w:styleId="944">
    <w:name w:val="endnote text"/>
    <w:basedOn w:val="958"/>
    <w:link w:val="945"/>
    <w:uiPriority w:val="99"/>
    <w:semiHidden/>
    <w:unhideWhenUsed/>
    <w:pPr>
      <w:spacing w:after="0" w:line="240" w:lineRule="auto"/>
    </w:pPr>
    <w:rPr>
      <w:sz w:val="20"/>
    </w:rPr>
  </w:style>
  <w:style w:type="character" w:styleId="945">
    <w:name w:val="Endnote Text Char"/>
    <w:link w:val="944"/>
    <w:uiPriority w:val="99"/>
    <w:rPr>
      <w:sz w:val="20"/>
    </w:rPr>
  </w:style>
  <w:style w:type="character" w:styleId="946">
    <w:name w:val="endnote reference"/>
    <w:basedOn w:val="959"/>
    <w:uiPriority w:val="99"/>
    <w:semiHidden/>
    <w:unhideWhenUsed/>
    <w:rPr>
      <w:vertAlign w:val="superscript"/>
    </w:rPr>
  </w:style>
  <w:style w:type="paragraph" w:styleId="947">
    <w:name w:val="toc 1"/>
    <w:basedOn w:val="958"/>
    <w:next w:val="958"/>
    <w:uiPriority w:val="39"/>
    <w:unhideWhenUsed/>
    <w:pPr>
      <w:ind w:left="0" w:right="0" w:firstLine="0"/>
      <w:spacing w:after="57"/>
    </w:pPr>
  </w:style>
  <w:style w:type="paragraph" w:styleId="948">
    <w:name w:val="toc 2"/>
    <w:basedOn w:val="958"/>
    <w:next w:val="958"/>
    <w:uiPriority w:val="39"/>
    <w:unhideWhenUsed/>
    <w:pPr>
      <w:ind w:left="283" w:right="0" w:firstLine="0"/>
      <w:spacing w:after="57"/>
    </w:pPr>
  </w:style>
  <w:style w:type="paragraph" w:styleId="949">
    <w:name w:val="toc 3"/>
    <w:basedOn w:val="958"/>
    <w:next w:val="958"/>
    <w:uiPriority w:val="39"/>
    <w:unhideWhenUsed/>
    <w:pPr>
      <w:ind w:left="567" w:right="0" w:firstLine="0"/>
      <w:spacing w:after="57"/>
    </w:pPr>
  </w:style>
  <w:style w:type="paragraph" w:styleId="950">
    <w:name w:val="toc 4"/>
    <w:basedOn w:val="958"/>
    <w:next w:val="958"/>
    <w:uiPriority w:val="39"/>
    <w:unhideWhenUsed/>
    <w:pPr>
      <w:ind w:left="850" w:right="0" w:firstLine="0"/>
      <w:spacing w:after="57"/>
    </w:pPr>
  </w:style>
  <w:style w:type="paragraph" w:styleId="951">
    <w:name w:val="toc 5"/>
    <w:basedOn w:val="958"/>
    <w:next w:val="958"/>
    <w:uiPriority w:val="39"/>
    <w:unhideWhenUsed/>
    <w:pPr>
      <w:ind w:left="1134" w:right="0" w:firstLine="0"/>
      <w:spacing w:after="57"/>
    </w:pPr>
  </w:style>
  <w:style w:type="paragraph" w:styleId="952">
    <w:name w:val="toc 6"/>
    <w:basedOn w:val="958"/>
    <w:next w:val="958"/>
    <w:uiPriority w:val="39"/>
    <w:unhideWhenUsed/>
    <w:pPr>
      <w:ind w:left="1417" w:right="0" w:firstLine="0"/>
      <w:spacing w:after="57"/>
    </w:pPr>
  </w:style>
  <w:style w:type="paragraph" w:styleId="953">
    <w:name w:val="toc 7"/>
    <w:basedOn w:val="958"/>
    <w:next w:val="958"/>
    <w:uiPriority w:val="39"/>
    <w:unhideWhenUsed/>
    <w:pPr>
      <w:ind w:left="1701" w:right="0" w:firstLine="0"/>
      <w:spacing w:after="57"/>
    </w:pPr>
  </w:style>
  <w:style w:type="paragraph" w:styleId="954">
    <w:name w:val="toc 8"/>
    <w:basedOn w:val="958"/>
    <w:next w:val="958"/>
    <w:uiPriority w:val="39"/>
    <w:unhideWhenUsed/>
    <w:pPr>
      <w:ind w:left="1984" w:right="0" w:firstLine="0"/>
      <w:spacing w:after="57"/>
    </w:pPr>
  </w:style>
  <w:style w:type="paragraph" w:styleId="955">
    <w:name w:val="toc 9"/>
    <w:basedOn w:val="958"/>
    <w:next w:val="958"/>
    <w:uiPriority w:val="39"/>
    <w:unhideWhenUsed/>
    <w:pPr>
      <w:ind w:left="2268" w:right="0" w:firstLine="0"/>
      <w:spacing w:after="57"/>
    </w:pPr>
  </w:style>
  <w:style w:type="paragraph" w:styleId="956">
    <w:name w:val="TOC Heading"/>
    <w:uiPriority w:val="39"/>
    <w:unhideWhenUsed/>
  </w:style>
  <w:style w:type="paragraph" w:styleId="957">
    <w:name w:val="table of figures"/>
    <w:basedOn w:val="958"/>
    <w:next w:val="958"/>
    <w:uiPriority w:val="99"/>
    <w:unhideWhenUsed/>
    <w:pPr>
      <w:spacing w:after="0" w:afterAutospacing="0"/>
    </w:pPr>
  </w:style>
  <w:style w:type="paragraph" w:styleId="958" w:default="1">
    <w:name w:val="Normal"/>
    <w:rPr>
      <w:color w:val="000000"/>
    </w:rPr>
  </w:style>
  <w:style w:type="character" w:styleId="959" w:default="1">
    <w:name w:val="Default Paragraph Font"/>
    <w:uiPriority w:val="1"/>
    <w:semiHidden/>
    <w:unhideWhenUsed/>
  </w:style>
  <w:style w:type="table" w:styleId="9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1" w:default="1">
    <w:name w:val="No List"/>
    <w:uiPriority w:val="99"/>
    <w:semiHidden/>
    <w:unhideWhenUsed/>
  </w:style>
  <w:style w:type="character" w:styleId="962">
    <w:name w:val="Hyperlink"/>
    <w:basedOn w:val="959"/>
    <w:rPr>
      <w:color w:val="0066cc"/>
      <w:u w:val="single"/>
    </w:rPr>
  </w:style>
  <w:style w:type="character" w:styleId="963" w:customStyle="1">
    <w:name w:val="Основной текст Exact"/>
    <w:basedOn w:val="95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2"/>
      <w:sz w:val="22"/>
      <w:szCs w:val="22"/>
      <w:u w:val="none"/>
    </w:rPr>
  </w:style>
  <w:style w:type="character" w:styleId="964" w:customStyle="1">
    <w:name w:val="Основной текст_"/>
    <w:basedOn w:val="959"/>
    <w:link w:val="98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styleId="965" w:customStyle="1">
    <w:name w:val="Заголовок №1_"/>
    <w:basedOn w:val="959"/>
    <w:link w:val="98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20"/>
      <w:sz w:val="30"/>
      <w:szCs w:val="30"/>
      <w:u w:val="none"/>
    </w:rPr>
  </w:style>
  <w:style w:type="character" w:styleId="966" w:customStyle="1">
    <w:name w:val="Основной текст (2)_"/>
    <w:basedOn w:val="959"/>
    <w:link w:val="987"/>
    <w:rPr>
      <w:rFonts w:ascii="Calibri" w:hAnsi="Calibri" w:eastAsia="Calibri" w:cs="Calibri"/>
      <w:b/>
      <w:bCs/>
      <w:i/>
      <w:iCs/>
      <w:smallCaps w:val="0"/>
      <w:strike w:val="0"/>
      <w:spacing w:val="-10"/>
      <w:sz w:val="32"/>
      <w:szCs w:val="32"/>
      <w:u w:val="none"/>
    </w:rPr>
  </w:style>
  <w:style w:type="character" w:styleId="967" w:customStyle="1">
    <w:name w:val="Основной текст (2) + Times New Roman;10;5 pt;Не полужирный;Не курсив;Интервал 1 pt"/>
    <w:basedOn w:val="96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20"/>
      <w:position w:val="0"/>
      <w:sz w:val="21"/>
      <w:szCs w:val="21"/>
      <w:u w:val="none"/>
      <w:lang w:val="ru-RU" w:eastAsia="ru-RU" w:bidi="ru-RU"/>
    </w:rPr>
  </w:style>
  <w:style w:type="character" w:styleId="968" w:customStyle="1">
    <w:name w:val="Основной текст (3)_"/>
    <w:basedOn w:val="959"/>
    <w:link w:val="98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styleId="969" w:customStyle="1">
    <w:name w:val="Основной текст (3) + Не курсив"/>
    <w:basedOn w:val="96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70" w:customStyle="1">
    <w:name w:val="Основной текст + Интервал 3 pt"/>
    <w:basedOn w:val="9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70"/>
      <w:position w:val="0"/>
      <w:sz w:val="24"/>
      <w:szCs w:val="24"/>
      <w:u w:val="none"/>
      <w:lang w:val="ru-RU" w:eastAsia="ru-RU" w:bidi="ru-RU"/>
    </w:rPr>
  </w:style>
  <w:style w:type="character" w:styleId="971" w:customStyle="1">
    <w:name w:val="Основной текст + Интервал 0 pt"/>
    <w:basedOn w:val="9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972" w:customStyle="1">
    <w:name w:val="Основной текст + 10;5 pt;Интервал 0 pt"/>
    <w:basedOn w:val="9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3" w:customStyle="1">
    <w:name w:val="Основной текст + 10;5 pt;Полужирный;Курсив;Интервал 0 pt"/>
    <w:basedOn w:val="96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single"/>
      <w:lang w:val="en-US" w:eastAsia="en-US" w:bidi="en-US"/>
    </w:rPr>
  </w:style>
  <w:style w:type="character" w:styleId="974" w:customStyle="1">
    <w:name w:val="Основной текст + 10;5 pt;Полужирный;Курсив;Интервал 0 pt"/>
    <w:basedOn w:val="96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-10"/>
      <w:position w:val="0"/>
      <w:sz w:val="21"/>
      <w:szCs w:val="21"/>
      <w:u w:val="none"/>
      <w:lang w:val="ru-RU" w:eastAsia="ru-RU" w:bidi="ru-RU"/>
    </w:rPr>
  </w:style>
  <w:style w:type="character" w:styleId="975" w:customStyle="1">
    <w:name w:val="Основной текст (4)_"/>
    <w:basedOn w:val="959"/>
    <w:link w:val="98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styleId="976" w:customStyle="1">
    <w:name w:val="Основной текст (4) + Интервал 4 pt"/>
    <w:basedOn w:val="9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80"/>
      <w:position w:val="0"/>
      <w:sz w:val="23"/>
      <w:szCs w:val="23"/>
      <w:u w:val="none"/>
      <w:lang w:val="ru-RU" w:eastAsia="ru-RU" w:bidi="ru-RU"/>
    </w:rPr>
  </w:style>
  <w:style w:type="character" w:styleId="977" w:customStyle="1">
    <w:name w:val="Основной текст (4) + Не полужирный;Интервал 0 pt"/>
    <w:basedOn w:val="9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978" w:customStyle="1">
    <w:name w:val="Основной текст + 10;5 pt;Интервал 0 pt"/>
    <w:basedOn w:val="9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9" w:customStyle="1">
    <w:name w:val="Основной текст + 11;5 pt;Полужирный"/>
    <w:basedOn w:val="96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10"/>
      <w:position w:val="0"/>
      <w:sz w:val="23"/>
      <w:szCs w:val="23"/>
      <w:u w:val="none"/>
      <w:lang w:val="ru-RU" w:eastAsia="ru-RU" w:bidi="ru-RU"/>
    </w:rPr>
  </w:style>
  <w:style w:type="character" w:styleId="980" w:customStyle="1">
    <w:name w:val="Основной текст + Gulim;10;5 pt;Интервал 0 pt"/>
    <w:basedOn w:val="964"/>
    <w:rPr>
      <w:rFonts w:ascii="Gulim" w:hAnsi="Gulim" w:eastAsia="Gulim" w:cs="Gulim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81" w:customStyle="1">
    <w:name w:val="Основной текст + CordiaUPC;16 pt;Интервал 0 pt"/>
    <w:basedOn w:val="964"/>
    <w:rPr>
      <w:rFonts w:ascii="CordiaUPC" w:hAnsi="CordiaUPC" w:eastAsia="CordiaUPC" w:cs="CordiaUPC"/>
      <w:b w:val="0"/>
      <w:bCs w:val="0"/>
      <w:i w:val="0"/>
      <w:iCs w:val="0"/>
      <w:smallCaps w:val="0"/>
      <w:strike w:val="0"/>
      <w:color w:val="000000"/>
      <w:spacing w:val="0"/>
      <w:position w:val="0"/>
      <w:sz w:val="32"/>
      <w:szCs w:val="32"/>
      <w:u w:val="none"/>
      <w:lang w:val="ru-RU" w:eastAsia="ru-RU" w:bidi="ru-RU"/>
    </w:rPr>
  </w:style>
  <w:style w:type="character" w:styleId="982" w:customStyle="1">
    <w:name w:val="Подпись к таблице_"/>
    <w:basedOn w:val="959"/>
    <w:link w:val="990"/>
    <w:rPr>
      <w:rFonts w:ascii="Gulim" w:hAnsi="Gulim" w:eastAsia="Gulim" w:cs="Gulim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styleId="983" w:customStyle="1">
    <w:name w:val="Основной текст (4) + 10;5 pt;Не полужирный;Интервал 0 pt"/>
    <w:basedOn w:val="9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84" w:customStyle="1">
    <w:name w:val="Основной текст (4) + 10 pt;Не полужирный;Интервал 0 pt"/>
    <w:basedOn w:val="97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paragraph" w:styleId="985" w:customStyle="1">
    <w:name w:val="Основной текст1"/>
    <w:basedOn w:val="958"/>
    <w:link w:val="964"/>
    <w:pPr>
      <w:spacing w:before="240" w:line="0" w:lineRule="atLeast"/>
      <w:shd w:val="clear" w:color="auto" w:fill="ffffff"/>
    </w:pPr>
    <w:rPr>
      <w:rFonts w:ascii="Times New Roman" w:hAnsi="Times New Roman" w:eastAsia="Times New Roman" w:cs="Times New Roman"/>
      <w:spacing w:val="10"/>
    </w:rPr>
  </w:style>
  <w:style w:type="paragraph" w:styleId="986" w:customStyle="1">
    <w:name w:val="Заголовок №1"/>
    <w:basedOn w:val="958"/>
    <w:link w:val="965"/>
    <w:pPr>
      <w:jc w:val="center"/>
      <w:spacing w:before="120" w:after="144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spacing w:val="20"/>
      <w:sz w:val="30"/>
      <w:szCs w:val="30"/>
    </w:rPr>
  </w:style>
  <w:style w:type="paragraph" w:styleId="987" w:customStyle="1">
    <w:name w:val="Основной текст (2)"/>
    <w:basedOn w:val="958"/>
    <w:link w:val="966"/>
    <w:pPr>
      <w:spacing w:before="1440" w:line="0" w:lineRule="atLeast"/>
      <w:shd w:val="clear" w:color="auto" w:fill="ffffff"/>
    </w:pPr>
    <w:rPr>
      <w:rFonts w:ascii="Calibri" w:hAnsi="Calibri" w:eastAsia="Calibri" w:cs="Calibri"/>
      <w:b/>
      <w:bCs/>
      <w:i/>
      <w:iCs/>
      <w:spacing w:val="-10"/>
      <w:sz w:val="32"/>
      <w:szCs w:val="32"/>
    </w:rPr>
  </w:style>
  <w:style w:type="paragraph" w:styleId="988" w:customStyle="1">
    <w:name w:val="Основной текст (3)"/>
    <w:basedOn w:val="958"/>
    <w:link w:val="968"/>
    <w:pPr>
      <w:spacing w:before="420" w:after="1080" w:line="269" w:lineRule="exact"/>
      <w:shd w:val="clear" w:color="auto" w:fill="ffffff"/>
    </w:pPr>
    <w:rPr>
      <w:rFonts w:ascii="Times New Roman" w:hAnsi="Times New Roman" w:eastAsia="Times New Roman" w:cs="Times New Roman"/>
      <w:i/>
      <w:iCs/>
      <w:sz w:val="22"/>
      <w:szCs w:val="22"/>
    </w:rPr>
  </w:style>
  <w:style w:type="paragraph" w:styleId="989" w:customStyle="1">
    <w:name w:val="Основной текст (4)"/>
    <w:basedOn w:val="958"/>
    <w:link w:val="975"/>
    <w:pPr>
      <w:jc w:val="center"/>
      <w:spacing w:before="540" w:after="960" w:line="298" w:lineRule="exact"/>
      <w:shd w:val="clear" w:color="auto" w:fill="ffffff"/>
    </w:pPr>
    <w:rPr>
      <w:rFonts w:ascii="Times New Roman" w:hAnsi="Times New Roman" w:eastAsia="Times New Roman" w:cs="Times New Roman"/>
      <w:b/>
      <w:bCs/>
      <w:spacing w:val="10"/>
      <w:sz w:val="23"/>
      <w:szCs w:val="23"/>
    </w:rPr>
  </w:style>
  <w:style w:type="paragraph" w:styleId="990" w:customStyle="1">
    <w:name w:val="Подпись к таблице"/>
    <w:basedOn w:val="958"/>
    <w:link w:val="982"/>
    <w:pPr>
      <w:spacing w:line="0" w:lineRule="atLeast"/>
      <w:shd w:val="clear" w:color="auto" w:fill="ffffff"/>
    </w:pPr>
    <w:rPr>
      <w:rFonts w:ascii="Gulim" w:hAnsi="Gulim" w:eastAsia="Gulim" w:cs="Gulim"/>
      <w:sz w:val="12"/>
      <w:szCs w:val="12"/>
    </w:rPr>
  </w:style>
  <w:style w:type="paragraph" w:styleId="991">
    <w:name w:val="Balloon Text"/>
    <w:basedOn w:val="958"/>
    <w:link w:val="992"/>
    <w:uiPriority w:val="99"/>
    <w:semiHidden/>
    <w:unhideWhenUsed/>
    <w:rPr>
      <w:rFonts w:ascii="Tahoma" w:hAnsi="Tahoma" w:cs="Tahoma"/>
      <w:sz w:val="16"/>
      <w:szCs w:val="16"/>
    </w:rPr>
  </w:style>
  <w:style w:type="character" w:styleId="992" w:customStyle="1">
    <w:name w:val="Текст выноски Знак"/>
    <w:basedOn w:val="959"/>
    <w:link w:val="991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993">
    <w:name w:val="List Paragraph"/>
    <w:basedOn w:val="958"/>
    <w:uiPriority w:val="34"/>
    <w:qFormat/>
    <w:pPr>
      <w:contextualSpacing/>
      <w:ind w:left="720"/>
    </w:pPr>
  </w:style>
  <w:style w:type="table" w:styleId="994">
    <w:name w:val="Table Grid"/>
    <w:basedOn w:val="96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95" w:customStyle="1">
    <w:name w:val="Сетка таблицы1"/>
    <w:basedOn w:val="960"/>
    <w:next w:val="994"/>
    <w:uiPriority w:val="59"/>
    <w:pPr>
      <w:widowControl/>
    </w:pPr>
    <w:rPr>
      <w:rFonts w:ascii="Times New Roman" w:hAnsi="Times New Roman" w:eastAsia="Times New Roman" w:cs="Times New Roman"/>
      <w:sz w:val="20"/>
      <w:szCs w:val="20"/>
      <w:lang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6" w:customStyle="1">
    <w:name w:val="ConsPlusNormal"/>
    <w:rPr>
      <w:rFonts w:ascii="Arial" w:hAnsi="Arial" w:cs="Arial" w:eastAsiaTheme="minorEastAsia"/>
      <w:sz w:val="20"/>
      <w:szCs w:val="20"/>
      <w:lang w:bidi="ar-SA"/>
    </w:rPr>
  </w:style>
  <w:style w:type="paragraph" w:styleId="997" w:customStyle="1">
    <w:name w:val="ConsPlusTitle"/>
    <w:uiPriority w:val="99"/>
    <w:rPr>
      <w:rFonts w:ascii="Arial" w:hAnsi="Arial" w:cs="Arial" w:eastAsiaTheme="minorEastAsia"/>
      <w:b/>
      <w:bCs/>
      <w:sz w:val="20"/>
      <w:szCs w:val="20"/>
      <w:lang w:bidi="ar-SA"/>
    </w:rPr>
  </w:style>
  <w:style w:type="paragraph" w:styleId="998">
    <w:name w:val="Header"/>
    <w:basedOn w:val="958"/>
    <w:link w:val="99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99" w:customStyle="1">
    <w:name w:val="Верхний колонтитул Знак"/>
    <w:basedOn w:val="959"/>
    <w:link w:val="998"/>
    <w:uiPriority w:val="99"/>
    <w:rPr>
      <w:color w:val="000000"/>
    </w:rPr>
  </w:style>
  <w:style w:type="paragraph" w:styleId="1000">
    <w:name w:val="Footer"/>
    <w:basedOn w:val="958"/>
    <w:link w:val="100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1" w:customStyle="1">
    <w:name w:val="Нижний колонтитул Знак"/>
    <w:basedOn w:val="959"/>
    <w:link w:val="1000"/>
    <w:uiPriority w:val="99"/>
    <w:rPr>
      <w:color w:val="000000"/>
    </w:rPr>
  </w:style>
  <w:style w:type="character" w:styleId="1002" w:customStyle="1">
    <w:name w:val="Основной текст + 10 pt;Интервал 0 pt"/>
    <w:basedOn w:val="964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4"/>
      <w:position w:val="0"/>
      <w:sz w:val="20"/>
      <w:szCs w:val="20"/>
      <w:u w:val="none"/>
      <w:lang w:val="ru-RU" w:eastAsia="ru-RU" w:bidi="ru-RU"/>
    </w:rPr>
  </w:style>
  <w:style w:type="character" w:styleId="1003" w:customStyle="1">
    <w:name w:val="Основной текст + 9 pt;Не полужирный;Интервал 0 pt"/>
    <w:basedOn w:val="964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styleId="1004" w:customStyle="1">
    <w:name w:val="Основной текст + Arial Narrow;7 pt;Интервал 0 pt"/>
    <w:basedOn w:val="964"/>
    <w:rPr>
      <w:rFonts w:ascii="Arial Narrow" w:hAnsi="Arial Narrow" w:eastAsia="Arial Narrow" w:cs="Arial Narrow"/>
      <w:b/>
      <w:bCs/>
      <w:i w:val="0"/>
      <w:iCs w:val="0"/>
      <w:smallCaps w:val="0"/>
      <w:strike w:val="0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styleId="1005">
    <w:name w:val="Strong"/>
    <w:basedOn w:val="95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229603C182C8599DF6C3F454AA1ADB997B9896ED718B5BAA08C8AB2470B9F0373C79595BE0C64D0B9F6D02D15EhAu5E" TargetMode="External"/><Relationship Id="rId13" Type="http://schemas.openxmlformats.org/officeDocument/2006/relationships/hyperlink" Target="consultantplus://offline/ref=229603C182C8599DF6C3F454AA1ADB997B9994E8798A5BAA08C8AB2470B9F0373C79595BE0C64D0B9F6D02D15EhAu5E" TargetMode="External"/><Relationship Id="rId14" Type="http://schemas.openxmlformats.org/officeDocument/2006/relationships/hyperlink" Target="consultantplus://offline/ref=229603C182C8599DF6C3F454AA1ADB997B9A9CEC728F5BAA08C8AB2470B9F0373C79595BE0C64D0B9F6D02D15EhAu5E" TargetMode="External"/><Relationship Id="rId15" Type="http://schemas.openxmlformats.org/officeDocument/2006/relationships/hyperlink" Target="about:blank" TargetMode="External"/><Relationship Id="rId16" Type="http://schemas.openxmlformats.org/officeDocument/2006/relationships/hyperlink" Target="http://minstroy.nso.ru/page/547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1D3F7D-CA30-46BA-97FD-BC074F64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почта для направления предложений cra@nso.ru</dc:title>
  <dc:creator>Косинова Олеся Леонидовна</dc:creator>
  <cp:revision>14</cp:revision>
  <dcterms:created xsi:type="dcterms:W3CDTF">2023-09-21T03:29:00Z</dcterms:created>
  <dcterms:modified xsi:type="dcterms:W3CDTF">2024-09-30T10:42:27Z</dcterms:modified>
</cp:coreProperties>
</file>