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485" w:rsidRDefault="00A651E8" w:rsidP="00A651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F51688" w:rsidRDefault="00F51688" w:rsidP="00A651E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F51688" w:rsidRDefault="00F51688" w:rsidP="00F51688">
      <w:pPr>
        <w:autoSpaceDE w:val="0"/>
        <w:autoSpaceDN w:val="0"/>
        <w:adjustRightInd w:val="0"/>
        <w:spacing w:after="0" w:line="240" w:lineRule="auto"/>
        <w:ind w:firstLine="540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51688" w:rsidRPr="00EF6485" w:rsidRDefault="00F51688" w:rsidP="00F51688">
      <w:pPr>
        <w:autoSpaceDE w:val="0"/>
        <w:autoSpaceDN w:val="0"/>
        <w:adjustRightInd w:val="0"/>
        <w:spacing w:after="0" w:line="240" w:lineRule="auto"/>
        <w:ind w:firstLine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От                   №</w:t>
      </w:r>
    </w:p>
    <w:p w:rsidR="00EF6485" w:rsidRDefault="00EF6485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3721B" w:rsidRPr="007464DE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64DE">
        <w:rPr>
          <w:rFonts w:ascii="Times New Roman" w:hAnsi="Times New Roman" w:cs="Times New Roman"/>
          <w:b/>
          <w:sz w:val="28"/>
          <w:szCs w:val="28"/>
        </w:rPr>
        <w:t>МЕСТНЫЕ НОРМАТИВЫ</w:t>
      </w:r>
    </w:p>
    <w:p w:rsidR="00E3721B" w:rsidRPr="005D4694" w:rsidRDefault="00E3721B" w:rsidP="007464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 xml:space="preserve">градостроительного проектирования </w:t>
      </w:r>
      <w:proofErr w:type="spellStart"/>
      <w:r w:rsidR="007464DE" w:rsidRPr="005D4694">
        <w:rPr>
          <w:rFonts w:ascii="Times New Roman" w:hAnsi="Times New Roman" w:cs="Times New Roman"/>
          <w:b/>
          <w:sz w:val="26"/>
          <w:szCs w:val="26"/>
        </w:rPr>
        <w:t>Бергульского</w:t>
      </w:r>
      <w:proofErr w:type="spellEnd"/>
      <w:r w:rsidR="007464DE" w:rsidRPr="005D4694">
        <w:rPr>
          <w:rFonts w:ascii="Times New Roman" w:hAnsi="Times New Roman" w:cs="Times New Roman"/>
          <w:b/>
          <w:sz w:val="26"/>
          <w:szCs w:val="26"/>
        </w:rPr>
        <w:t xml:space="preserve"> сел</w:t>
      </w:r>
      <w:r w:rsidR="00A41460" w:rsidRPr="005D4694">
        <w:rPr>
          <w:rFonts w:ascii="Times New Roman" w:hAnsi="Times New Roman" w:cs="Times New Roman"/>
          <w:b/>
          <w:sz w:val="26"/>
          <w:szCs w:val="26"/>
        </w:rPr>
        <w:t>ь</w:t>
      </w:r>
      <w:r w:rsidR="007464DE" w:rsidRPr="005D4694">
        <w:rPr>
          <w:rFonts w:ascii="Times New Roman" w:hAnsi="Times New Roman" w:cs="Times New Roman"/>
          <w:b/>
          <w:sz w:val="26"/>
          <w:szCs w:val="26"/>
        </w:rPr>
        <w:t>совета Северного района Новосибирской области</w:t>
      </w:r>
    </w:p>
    <w:p w:rsidR="007464DE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E3721B" w:rsidRPr="005D4694" w:rsidRDefault="00E3721B" w:rsidP="00A65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Содержание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I. Общие положения.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Перечень используемых сокращений.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II. Основная часть.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1. Термины и определения.</w:t>
      </w:r>
    </w:p>
    <w:p w:rsidR="00E3721B" w:rsidRPr="005D4694" w:rsidRDefault="00E3721B" w:rsidP="007464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2.  Цели  и  задачи  разработки  местных  нормативов градостроительного</w:t>
      </w:r>
      <w:r w:rsidR="00EF6485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7464DE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7464DE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5D4694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3.   Общая  характеристика  состава  и  содержания  местных  нормативов</w:t>
      </w:r>
      <w:r w:rsidR="00EF6485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градостроительного проектирования </w:t>
      </w:r>
      <w:proofErr w:type="spellStart"/>
      <w:r w:rsidR="007464DE" w:rsidRPr="005D4694">
        <w:rPr>
          <w:rFonts w:ascii="Times New Roman" w:eastAsia="Times New Roman" w:hAnsi="Times New Roman" w:cs="Times New Roman"/>
          <w:bCs/>
          <w:sz w:val="26"/>
          <w:szCs w:val="26"/>
        </w:rPr>
        <w:t>Бергульского</w:t>
      </w:r>
      <w:proofErr w:type="spellEnd"/>
      <w:r w:rsidR="007464DE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233691" w:rsidRPr="005D4694" w:rsidRDefault="00E3721B" w:rsidP="00EF648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4.  Расчетные  показатели  минимально допустимого уровня обеспеченности</w:t>
      </w:r>
      <w:r w:rsidR="00EF6485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7464DE" w:rsidRPr="005D4694">
        <w:rPr>
          <w:rFonts w:ascii="Times New Roman" w:eastAsia="Times New Roman" w:hAnsi="Times New Roman" w:cs="Times New Roman"/>
          <w:bCs/>
          <w:sz w:val="26"/>
          <w:szCs w:val="26"/>
        </w:rPr>
        <w:t>Бергульского</w:t>
      </w:r>
      <w:proofErr w:type="spellEnd"/>
      <w:r w:rsidR="007464DE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 </w:t>
      </w:r>
      <w:r w:rsidRPr="005D4694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7464DE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уровня территориальной доступности таких объектов для населения.</w:t>
      </w:r>
    </w:p>
    <w:p w:rsidR="00E3721B" w:rsidRPr="005D4694" w:rsidRDefault="00A651E8" w:rsidP="00A651E8">
      <w:pPr>
        <w:widowControl w:val="0"/>
        <w:autoSpaceDE w:val="0"/>
        <w:autoSpaceDN w:val="0"/>
        <w:adjustRightInd w:val="0"/>
        <w:spacing w:after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E3721B" w:rsidRPr="005D4694">
        <w:rPr>
          <w:rFonts w:ascii="Times New Roman" w:hAnsi="Times New Roman" w:cs="Times New Roman"/>
          <w:sz w:val="26"/>
          <w:szCs w:val="26"/>
        </w:rPr>
        <w:t>III. Правила и область применения расче</w:t>
      </w:r>
      <w:r w:rsidR="00EF6485" w:rsidRPr="005D4694">
        <w:rPr>
          <w:rFonts w:ascii="Times New Roman" w:hAnsi="Times New Roman" w:cs="Times New Roman"/>
          <w:sz w:val="26"/>
          <w:szCs w:val="26"/>
        </w:rPr>
        <w:t xml:space="preserve">тных показателей, содержащихся в </w:t>
      </w:r>
      <w:r w:rsidR="00E3721B" w:rsidRPr="005D4694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5D4694" w:rsidRDefault="00E3721B" w:rsidP="00A651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IV.  Материалы  по  обоснованию  расчетных  показателей, содержащихся в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233691" w:rsidRPr="005D4694" w:rsidRDefault="00E3721B" w:rsidP="00A651E8">
      <w:pPr>
        <w:widowControl w:val="0"/>
        <w:autoSpaceDE w:val="0"/>
        <w:autoSpaceDN w:val="0"/>
        <w:adjustRightInd w:val="0"/>
        <w:spacing w:after="0"/>
        <w:ind w:firstLine="709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Перечень  нормативных  правовых актов </w:t>
      </w:r>
      <w:r w:rsidR="00233691" w:rsidRPr="005D4694">
        <w:rPr>
          <w:rFonts w:ascii="Times New Roman" w:eastAsia="Times New Roman" w:hAnsi="Times New Roman" w:cs="Times New Roman"/>
          <w:sz w:val="26"/>
          <w:szCs w:val="26"/>
        </w:rPr>
        <w:t>федеральных законов, Сводов правил по проектированию и стр</w:t>
      </w:r>
      <w:r w:rsidR="00EF6485" w:rsidRPr="005D4694">
        <w:rPr>
          <w:rFonts w:ascii="Times New Roman" w:eastAsia="Times New Roman" w:hAnsi="Times New Roman" w:cs="Times New Roman"/>
          <w:sz w:val="26"/>
          <w:szCs w:val="26"/>
        </w:rPr>
        <w:t xml:space="preserve">оительству и других документов, </w:t>
      </w:r>
      <w:r w:rsidR="00233691" w:rsidRPr="005D4694">
        <w:rPr>
          <w:rFonts w:ascii="Times New Roman" w:eastAsia="Times New Roman" w:hAnsi="Times New Roman" w:cs="Times New Roman"/>
          <w:sz w:val="26"/>
          <w:szCs w:val="26"/>
        </w:rPr>
        <w:t xml:space="preserve">использованных при подготовке </w:t>
      </w:r>
      <w:r w:rsidR="00233691" w:rsidRPr="005D4694">
        <w:rPr>
          <w:rFonts w:ascii="Times New Roman" w:eastAsia="Times New Roman" w:hAnsi="Times New Roman" w:cs="Times New Roman"/>
          <w:bCs/>
          <w:sz w:val="26"/>
          <w:szCs w:val="26"/>
        </w:rPr>
        <w:t>местны</w:t>
      </w:r>
      <w:r w:rsidR="00EF6485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х нормативов градостроительного </w:t>
      </w:r>
      <w:r w:rsidR="00233691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проектирования </w:t>
      </w:r>
      <w:proofErr w:type="spellStart"/>
      <w:r w:rsidR="00233691" w:rsidRPr="005D4694">
        <w:rPr>
          <w:rFonts w:ascii="Times New Roman" w:eastAsia="Times New Roman" w:hAnsi="Times New Roman" w:cs="Times New Roman"/>
          <w:bCs/>
          <w:sz w:val="26"/>
          <w:szCs w:val="26"/>
        </w:rPr>
        <w:t>Бергульского</w:t>
      </w:r>
      <w:proofErr w:type="spellEnd"/>
      <w:r w:rsidR="00233691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 сельсовета Северного района Новосибирской области.</w:t>
      </w:r>
    </w:p>
    <w:p w:rsidR="00E3721B" w:rsidRPr="005D4694" w:rsidRDefault="00E3721B" w:rsidP="002336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23369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I. Общие положения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1.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233691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233691" w:rsidRPr="005D4694">
        <w:rPr>
          <w:rFonts w:ascii="Times New Roman" w:hAnsi="Times New Roman" w:cs="Times New Roman"/>
          <w:sz w:val="26"/>
          <w:szCs w:val="26"/>
        </w:rPr>
        <w:t xml:space="preserve"> сельсовета </w:t>
      </w:r>
      <w:r w:rsidR="00233691" w:rsidRPr="005D4694">
        <w:rPr>
          <w:rFonts w:ascii="Times New Roman" w:hAnsi="Times New Roman" w:cs="Times New Roman"/>
          <w:bCs/>
          <w:sz w:val="26"/>
          <w:szCs w:val="26"/>
        </w:rPr>
        <w:t>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 xml:space="preserve">  разработаны  в соответствии с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законодательством    Российской    Федерации   и   Новосибирской   области,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нормативными правовыми актами </w:t>
      </w:r>
      <w:r w:rsidR="00233691" w:rsidRPr="005D4694">
        <w:rPr>
          <w:rFonts w:ascii="Times New Roman" w:hAnsi="Times New Roman" w:cs="Times New Roman"/>
          <w:sz w:val="26"/>
          <w:szCs w:val="26"/>
        </w:rPr>
        <w:t>администрации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>,  содержат  совокупность расчетных показателей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минимально  допустимого  уровня обеспеченности объектами местного значения,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относящимися   к   областям,   указанным   в </w:t>
      </w:r>
      <w:hyperlink r:id="rId5" w:history="1">
        <w:r w:rsidR="00233691" w:rsidRPr="005D4694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Градостроительного кодекса Российской Федераци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и </w:t>
      </w:r>
      <w:r w:rsidRPr="005D4694">
        <w:rPr>
          <w:rFonts w:ascii="Times New Roman" w:hAnsi="Times New Roman" w:cs="Times New Roman"/>
          <w:sz w:val="26"/>
          <w:szCs w:val="26"/>
        </w:rPr>
        <w:t xml:space="preserve"> и   расчетных   показателей   максимально   допустимого  уровня</w:t>
      </w:r>
      <w:proofErr w:type="gramEnd"/>
      <w:r w:rsidR="00EF6485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территориальной     доступности     таких     объектов     для    населения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="00233691" w:rsidRPr="005D4694">
        <w:rPr>
          <w:rFonts w:ascii="Times New Roman" w:hAnsi="Times New Roman" w:cs="Times New Roman"/>
          <w:sz w:val="26"/>
          <w:szCs w:val="26"/>
        </w:rPr>
        <w:t>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2. Местные нормативы градостроительного проектирования </w:t>
      </w:r>
      <w:proofErr w:type="spellStart"/>
      <w:r w:rsidR="00233691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233691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5D4694">
        <w:rPr>
          <w:rFonts w:ascii="Times New Roman" w:hAnsi="Times New Roman" w:cs="Times New Roman"/>
          <w:sz w:val="26"/>
          <w:szCs w:val="26"/>
        </w:rPr>
        <w:t>разработаны для использования их в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процессе   подготовки   документов  территориального  планирования,  правил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землепользования и застройки, документации по планировке территорий.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    Планировка и застройка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 населенных пунктов, формирование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жилых   и   рекреационных   зон,  разработка  проектных  решений  на  новое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строительство  и  реконструкцию  зданий,  сооружений  и  их  комплексов без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приспособления  указанных  объектов  для  беспрепятственного  доступа к ним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инвалидов,  маломобильных  групп  граждан  и  использования  их инвалидами,</w:t>
      </w:r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маломобильными группами граждан не допускаются.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3. Местные нормативы градостроительного проектирования </w:t>
      </w:r>
      <w:proofErr w:type="spellStart"/>
      <w:r w:rsidR="00233691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233691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 xml:space="preserve">   разработаны   с   учетом</w:t>
      </w:r>
      <w:r w:rsidR="00A651E8">
        <w:rPr>
          <w:rFonts w:ascii="Times New Roman" w:hAnsi="Times New Roman" w:cs="Times New Roman"/>
          <w:sz w:val="26"/>
          <w:szCs w:val="26"/>
        </w:rPr>
        <w:t xml:space="preserve"> с</w:t>
      </w:r>
      <w:r w:rsidRPr="005D4694">
        <w:rPr>
          <w:rFonts w:ascii="Times New Roman" w:hAnsi="Times New Roman" w:cs="Times New Roman"/>
          <w:sz w:val="26"/>
          <w:szCs w:val="26"/>
        </w:rPr>
        <w:t>оциально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-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демографического  состава  и  плотности  населения  на территории  </w:t>
      </w:r>
      <w:proofErr w:type="spellStart"/>
      <w:r w:rsidR="00EF6485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EF6485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>;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планов    и   программ   комплексного   социально-экономического   развития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поселения</w:t>
      </w:r>
      <w:r w:rsidRPr="005D4694">
        <w:rPr>
          <w:rFonts w:ascii="Times New Roman" w:hAnsi="Times New Roman" w:cs="Times New Roman"/>
          <w:sz w:val="26"/>
          <w:szCs w:val="26"/>
        </w:rPr>
        <w:t>;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предложений органов местного самоуправления и заинтересованных лиц.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4.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233691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A651E8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233691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Новосибирской   области</w:t>
      </w:r>
      <w:r w:rsidR="008866FD" w:rsidRPr="005D4694">
        <w:rPr>
          <w:rFonts w:ascii="Times New Roman" w:hAnsi="Times New Roman" w:cs="Times New Roman"/>
          <w:sz w:val="26"/>
          <w:szCs w:val="26"/>
        </w:rPr>
        <w:t xml:space="preserve"> и Северного района Новосибирской области (далее – </w:t>
      </w:r>
      <w:r w:rsidR="00A651E8">
        <w:rPr>
          <w:rFonts w:ascii="Times New Roman" w:hAnsi="Times New Roman" w:cs="Times New Roman"/>
          <w:sz w:val="26"/>
          <w:szCs w:val="26"/>
        </w:rPr>
        <w:t xml:space="preserve">Северный </w:t>
      </w:r>
      <w:r w:rsidR="008866FD" w:rsidRPr="005D4694">
        <w:rPr>
          <w:rFonts w:ascii="Times New Roman" w:hAnsi="Times New Roman" w:cs="Times New Roman"/>
          <w:sz w:val="26"/>
          <w:szCs w:val="26"/>
        </w:rPr>
        <w:t>район)</w:t>
      </w:r>
      <w:r w:rsidRPr="005D4694">
        <w:rPr>
          <w:rFonts w:ascii="Times New Roman" w:hAnsi="Times New Roman" w:cs="Times New Roman"/>
          <w:sz w:val="26"/>
          <w:szCs w:val="26"/>
        </w:rPr>
        <w:t>,   определяющими   и   содержащими  цели  и  задачи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r w:rsidR="00A651E8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8866FD" w:rsidRPr="005D4694">
        <w:rPr>
          <w:rFonts w:ascii="Times New Roman" w:hAnsi="Times New Roman" w:cs="Times New Roman"/>
          <w:sz w:val="26"/>
          <w:szCs w:val="26"/>
        </w:rPr>
        <w:t>района</w:t>
      </w:r>
      <w:r w:rsidRPr="005D469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5D4694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5. Местные нормативы градостроительного проектирования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A651E8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 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D4694">
        <w:rPr>
          <w:rFonts w:ascii="Times New Roman" w:hAnsi="Times New Roman" w:cs="Times New Roman"/>
          <w:sz w:val="26"/>
          <w:szCs w:val="26"/>
        </w:rPr>
        <w:t>указанным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в </w:t>
      </w:r>
      <w:hyperlink r:id="rId6" w:history="1">
        <w:r w:rsidR="003657AF" w:rsidRPr="005D4694">
          <w:rPr>
            <w:rFonts w:ascii="Times New Roman" w:hAnsi="Times New Roman" w:cs="Times New Roman"/>
            <w:sz w:val="26"/>
            <w:szCs w:val="26"/>
          </w:rPr>
          <w:t>пункте  1  части  5  статьи  23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 Градостроительного кодекса Российской Федерации, иными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объектами  местного  значения 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8866FD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A651E8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>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в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основной части местных нормативов градостроительного проектирования.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                 Перечень используемых сокращений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3657AF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657AF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5D4694">
        <w:rPr>
          <w:rFonts w:ascii="Times New Roman" w:hAnsi="Times New Roman" w:cs="Times New Roman"/>
          <w:sz w:val="26"/>
          <w:szCs w:val="26"/>
        </w:rPr>
        <w:t>применяются следующие сокращения: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38"/>
        <w:gridCol w:w="6690"/>
      </w:tblGrid>
      <w:tr w:rsidR="00E3721B" w:rsidRPr="005D4694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Сокращения слов и словосочетаний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Сокращение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Слово/словосочетание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гг.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годы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ГП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Генеральный план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F51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7" w:history="1">
              <w:proofErr w:type="spellStart"/>
              <w:r w:rsidR="00E3721B" w:rsidRPr="005D469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ГрК</w:t>
              </w:r>
              <w:proofErr w:type="spellEnd"/>
            </w:hyperlink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Градостроительный кодекс Российской Федерации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др.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другие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F5168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hyperlink r:id="rId8" w:history="1">
              <w:r w:rsidR="00E3721B" w:rsidRPr="005D469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ЗК</w:t>
              </w:r>
            </w:hyperlink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РФ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Земельный кодекс Российской Федерации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МНГП </w:t>
            </w:r>
            <w:proofErr w:type="spellStart"/>
            <w:r w:rsidR="00D57E44" w:rsidRPr="005D4694">
              <w:rPr>
                <w:rFonts w:ascii="Times New Roman" w:hAnsi="Times New Roman" w:cs="Times New Roman"/>
                <w:sz w:val="26"/>
                <w:szCs w:val="26"/>
              </w:rPr>
              <w:t>Бергульского</w:t>
            </w:r>
            <w:proofErr w:type="spellEnd"/>
            <w:r w:rsidR="00D57E44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 w:rsidP="00D57E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местные нормативы градостроительного проектирования </w:t>
            </w:r>
            <w:proofErr w:type="spellStart"/>
            <w:r w:rsidR="00D57E44" w:rsidRPr="005D4694">
              <w:rPr>
                <w:rFonts w:ascii="Times New Roman" w:hAnsi="Times New Roman" w:cs="Times New Roman"/>
                <w:sz w:val="26"/>
                <w:szCs w:val="26"/>
              </w:rPr>
              <w:t>Бергульского</w:t>
            </w:r>
            <w:proofErr w:type="spellEnd"/>
            <w:r w:rsidR="00D57E44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сельсовета Северного района  Новосибирской области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ОМЗ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объект местного значения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пункт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ПЗЗ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Правила землепользования и застройки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пп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подпункт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РНГП Новосибирской области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региональные нормативы градостроительного проектирования Новосибирской области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статья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ст.ст.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статьи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часть</w:t>
            </w:r>
          </w:p>
        </w:tc>
      </w:tr>
      <w:tr w:rsidR="00E3721B" w:rsidRPr="005D4694">
        <w:tc>
          <w:tcPr>
            <w:tcW w:w="9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2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Сокращения единиц измерения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Обозначение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единицы измерения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гектар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киловольт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квадратный метр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кв. м/тыс.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квадратных метров на тысячу человек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километр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/час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километр в час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куб.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кубический метр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метр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мин.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минуты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тыс. кв. м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тысяча квадратных метров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тыс. куб. м/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тысяча кубических метров в сутки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тыс. т/год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тысяча тонн в год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тыс. человек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тысяча человек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чел.</w:t>
            </w:r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человек</w:t>
            </w:r>
          </w:p>
        </w:tc>
      </w:tr>
      <w:tr w:rsidR="00E3721B" w:rsidRPr="005D4694"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чел./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6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человек на гектар</w:t>
            </w:r>
          </w:p>
        </w:tc>
      </w:tr>
    </w:tbl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651E8" w:rsidRDefault="00A651E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A651E8" w:rsidRDefault="00A651E8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II. Основная часть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                     1. Термины и определения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В местных нормативах градостроительного проектирования </w:t>
      </w:r>
      <w:proofErr w:type="spellStart"/>
      <w:r w:rsidR="003657AF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657AF" w:rsidRPr="005D4694">
        <w:rPr>
          <w:rFonts w:ascii="Times New Roman" w:hAnsi="Times New Roman" w:cs="Times New Roman"/>
          <w:sz w:val="26"/>
          <w:szCs w:val="26"/>
        </w:rPr>
        <w:t xml:space="preserve"> сельсовета Северного района Новосибирской области </w:t>
      </w:r>
      <w:r w:rsidRPr="005D4694">
        <w:rPr>
          <w:rFonts w:ascii="Times New Roman" w:hAnsi="Times New Roman" w:cs="Times New Roman"/>
          <w:sz w:val="26"/>
          <w:szCs w:val="26"/>
        </w:rPr>
        <w:t>приведенные понятия применяются в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следующем значении: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блокированный  жилой  дом  - здание, состоящее из двух квартир и более,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каждая из которых имеет непосредственно выход на придомовую территорию;</w:t>
      </w:r>
    </w:p>
    <w:p w:rsidR="003657AF" w:rsidRPr="005D4694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водопроводные  очистные  сооружения  -  комплекс  зданий,  сооружений и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устрой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ств  дл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>я  очистки  воды (термин вводится для целей местных нормативов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5D4694" w:rsidRDefault="003657AF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</w:t>
      </w:r>
      <w:r w:rsidR="00E3721B" w:rsidRPr="005D4694">
        <w:rPr>
          <w:rFonts w:ascii="Times New Roman" w:hAnsi="Times New Roman" w:cs="Times New Roman"/>
          <w:sz w:val="26"/>
          <w:szCs w:val="26"/>
        </w:rPr>
        <w:t xml:space="preserve">     </w:t>
      </w:r>
      <w:proofErr w:type="spellStart"/>
      <w:r w:rsidR="00E3721B" w:rsidRPr="005D4694">
        <w:rPr>
          <w:rFonts w:ascii="Times New Roman" w:hAnsi="Times New Roman" w:cs="Times New Roman"/>
          <w:sz w:val="26"/>
          <w:szCs w:val="26"/>
        </w:rPr>
        <w:t>высококомфортное</w:t>
      </w:r>
      <w:proofErr w:type="spellEnd"/>
      <w:r w:rsidR="00E3721B" w:rsidRPr="005D4694">
        <w:rPr>
          <w:rFonts w:ascii="Times New Roman" w:hAnsi="Times New Roman" w:cs="Times New Roman"/>
          <w:sz w:val="26"/>
          <w:szCs w:val="26"/>
        </w:rPr>
        <w:t xml:space="preserve">  жилье  -  тип  жилого помещения, отвечающий комплексу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5D4694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требований, а также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5D4694">
        <w:rPr>
          <w:rFonts w:ascii="Times New Roman" w:hAnsi="Times New Roman" w:cs="Times New Roman"/>
          <w:sz w:val="26"/>
          <w:szCs w:val="26"/>
        </w:rPr>
        <w:t>уровню  требований  к  габаритам  и  площади помещений не менее 40 кв. м</w:t>
      </w:r>
      <w:r w:rsidR="008866FD" w:rsidRPr="005D4694">
        <w:rPr>
          <w:rFonts w:ascii="Times New Roman" w:hAnsi="Times New Roman" w:cs="Times New Roman"/>
          <w:sz w:val="26"/>
          <w:szCs w:val="26"/>
        </w:rPr>
        <w:t>.</w:t>
      </w:r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на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5D4694">
        <w:rPr>
          <w:rFonts w:ascii="Times New Roman" w:hAnsi="Times New Roman" w:cs="Times New Roman"/>
          <w:sz w:val="26"/>
          <w:szCs w:val="26"/>
        </w:rPr>
        <w:t>одного   человека   (термин   вводится   для   целей   местных   нормативов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5D4694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гараж  -  здание  или  сооружение,  предназначенное для постоянного или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временного  хранения, а также технического обслуживания автомобилей (термин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градостроительная    документация    -    документы    территориального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планирования,  документы  градостроительного  зонирования,  документация по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планировке   территории  (термин  вводится  для  целей  местных  нормативов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индивидуальный  жилой дом - отдельно стоящий жилой дом, предназначенный</w:t>
      </w:r>
    </w:p>
    <w:p w:rsidR="00E3721B" w:rsidRPr="005D4694" w:rsidRDefault="00E3721B" w:rsidP="003657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для проживания одной семьи;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комфортное   жилье   -   тип  жилого  помещения,  отвечающий  комплексу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требований, а также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помещений не менее 30, но не более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40  кв.  м</w:t>
      </w:r>
      <w:r w:rsidR="008866FD" w:rsidRPr="005D4694">
        <w:rPr>
          <w:rFonts w:ascii="Times New Roman" w:hAnsi="Times New Roman" w:cs="Times New Roman"/>
          <w:sz w:val="26"/>
          <w:szCs w:val="26"/>
        </w:rPr>
        <w:t>.</w:t>
      </w:r>
      <w:r w:rsidRPr="005D4694">
        <w:rPr>
          <w:rFonts w:ascii="Times New Roman" w:hAnsi="Times New Roman" w:cs="Times New Roman"/>
          <w:sz w:val="26"/>
          <w:szCs w:val="26"/>
        </w:rPr>
        <w:t xml:space="preserve"> на одного человека (термин вводится для целей местных нормативов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color w:val="0070C0"/>
          <w:sz w:val="26"/>
          <w:szCs w:val="26"/>
        </w:rPr>
        <w:t xml:space="preserve">    </w:t>
      </w:r>
      <w:r w:rsidRPr="005D4694">
        <w:rPr>
          <w:rFonts w:ascii="Times New Roman" w:hAnsi="Times New Roman" w:cs="Times New Roman"/>
          <w:sz w:val="26"/>
          <w:szCs w:val="26"/>
        </w:rPr>
        <w:t>коэффициент  застройки  -  отношение  площади,  занятой  под зданиями и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сооружениями, к площади участка;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коэффициент  плотности застройки - отношение площади всех этажей зданий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 сооружений к площади участка;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линия  электропередач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-  электрическая  линия,  выходящая  за  пределы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электростанции  или подстанции и предназначенная для передачи электрической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энергии;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массовое   жилье   -   тип   жилого   помещения,  отвечающий  комплексу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санитарно-гигиенических, эргономических и экологических требований, а также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уровню  требований к габаритам и площади помещений не менее 24, но не более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30  кв.  м на одного человека (термин вводится для целей местных нормативов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место  погребения  - часть пространства объекта похоронного назначения,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предназначенная для захоронения останков или праха умерших или погибших;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нормативы     градостроительного    проектирования    -    совокупность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установленных  в  целях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обеспечения благоприятных условий жизнедеятельности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человека расчетных показателей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минимально допустимого уровня обеспеченности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объектами, предусмотренными </w:t>
      </w:r>
      <w:hyperlink r:id="rId9" w:history="1">
        <w:r w:rsidRPr="005D4694">
          <w:rPr>
            <w:rFonts w:ascii="Times New Roman" w:hAnsi="Times New Roman" w:cs="Times New Roman"/>
            <w:sz w:val="26"/>
            <w:szCs w:val="26"/>
          </w:rPr>
          <w:t>частями 1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, </w:t>
      </w:r>
      <w:hyperlink r:id="rId10" w:history="1">
        <w:r w:rsidRPr="005D4694">
          <w:rPr>
            <w:rFonts w:ascii="Times New Roman" w:hAnsi="Times New Roman" w:cs="Times New Roman"/>
            <w:sz w:val="26"/>
            <w:szCs w:val="26"/>
          </w:rPr>
          <w:t>3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11" w:history="1">
        <w:r w:rsidRPr="005D4694">
          <w:rPr>
            <w:rFonts w:ascii="Times New Roman" w:hAnsi="Times New Roman" w:cs="Times New Roman"/>
            <w:sz w:val="26"/>
            <w:szCs w:val="26"/>
          </w:rPr>
          <w:t>4 статьи 29.2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Градостроительного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кодекса    Российской    Федерации,    населения   </w:t>
      </w:r>
      <w:r w:rsidR="00C0522E" w:rsidRPr="005D4694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5D4694">
        <w:rPr>
          <w:rFonts w:ascii="Times New Roman" w:hAnsi="Times New Roman" w:cs="Times New Roman"/>
          <w:sz w:val="26"/>
          <w:szCs w:val="26"/>
        </w:rPr>
        <w:t xml:space="preserve">  и расчетных показателей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максимально  допустимого  уровня территориальной доступности таких объектов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для    населения    </w:t>
      </w:r>
      <w:r w:rsidR="008866FD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Pr="005D4694">
        <w:rPr>
          <w:rFonts w:ascii="Times New Roman" w:hAnsi="Times New Roman" w:cs="Times New Roman"/>
          <w:sz w:val="26"/>
          <w:szCs w:val="26"/>
        </w:rPr>
        <w:t>,   муниципальных   образований</w:t>
      </w:r>
      <w:r w:rsidR="003657AF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Новосибирской области;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объекты  местного  значения  - объекты капитального строительства, 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территории, которые необходимы для осуществления органами местного</w:t>
      </w:r>
      <w:r w:rsidR="00C052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самоуправления  полномочий  по  вопросам  местного  значения  и  в пределах</w:t>
      </w:r>
      <w:r w:rsidR="00C052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переданных   государственных   полномочий  в  соответствии  с  федеральными</w:t>
      </w:r>
      <w:r w:rsidR="00C052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законами, законом Новосибирской области, 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Уставом Северного района </w:t>
      </w:r>
      <w:r w:rsidR="00C052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Новосибирской    области    и    оказывают    существенное    влияние    на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социально-экономическое    развитие   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  района</w:t>
      </w:r>
      <w:r w:rsidRPr="005D4694">
        <w:rPr>
          <w:rFonts w:ascii="Times New Roman" w:hAnsi="Times New Roman" w:cs="Times New Roman"/>
          <w:sz w:val="26"/>
          <w:szCs w:val="26"/>
        </w:rPr>
        <w:t>.  Виды объектов местного значения района,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  указанных в </w:t>
      </w:r>
      <w:hyperlink r:id="rId12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пункте  1 части 5 статьи 23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Градостроительного кодекса Российской Федерации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областях,  подлежащих  отображению  на  схеме территориального планирования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муниципального  района,  генеральном  плане  поселения,  генеральном  плане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, </w:t>
      </w:r>
      <w:r w:rsidRPr="005D4694">
        <w:rPr>
          <w:rFonts w:ascii="Times New Roman" w:hAnsi="Times New Roman" w:cs="Times New Roman"/>
          <w:sz w:val="26"/>
          <w:szCs w:val="26"/>
        </w:rPr>
        <w:t>определяются законом Новосибирской области;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парк  - озелененная территория общего пользования, представляющая собой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самостоятельный архитектурно-ландшафтный объект;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парковка   (парковочное   место)   -   специально  обозначенное  и  при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необходимости  обустроенное  и  оборудованное место,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являющееся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в том числе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частью  автомобильной  дороги  и примыкающее к проезжей части и 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тротуару,  обочине, эстакаде или мосту либо являющееся частью </w:t>
      </w:r>
      <w:proofErr w:type="spellStart"/>
      <w:r w:rsidRPr="005D4694">
        <w:rPr>
          <w:rFonts w:ascii="Times New Roman" w:hAnsi="Times New Roman" w:cs="Times New Roman"/>
          <w:sz w:val="26"/>
          <w:szCs w:val="26"/>
        </w:rPr>
        <w:t>подэстакадных</w:t>
      </w:r>
      <w:proofErr w:type="spellEnd"/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или </w:t>
      </w:r>
      <w:proofErr w:type="spellStart"/>
      <w:r w:rsidRPr="005D4694">
        <w:rPr>
          <w:rFonts w:ascii="Times New Roman" w:hAnsi="Times New Roman" w:cs="Times New Roman"/>
          <w:sz w:val="26"/>
          <w:szCs w:val="26"/>
        </w:rPr>
        <w:t>подмостовых</w:t>
      </w:r>
      <w:proofErr w:type="spellEnd"/>
      <w:r w:rsidRPr="005D4694">
        <w:rPr>
          <w:rFonts w:ascii="Times New Roman" w:hAnsi="Times New Roman" w:cs="Times New Roman"/>
          <w:sz w:val="26"/>
          <w:szCs w:val="26"/>
        </w:rPr>
        <w:t xml:space="preserve"> пространств, площадей и иных объектов улично-дорожной сети,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зданий,  строений  или  сооружений  и  предназначенное  для  организованной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стоянки  транспортных  средств  на платной основе или без взимания платы по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решению собственника или иного владельца автомобильной дороги, собственника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земельного участка либо собственника соответствующей части здания, строения</w:t>
      </w:r>
      <w:r w:rsidR="001E3F2E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или сооружения;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переработка   отходов   -   деятельность,   связанная   с   выполнением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технологических   процессов   по   обращению  с  отходами  для  обеспечения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повторного  использования  в  народном хозяйстве полученных сырья, энергии,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изделий и материалов;</w:t>
      </w:r>
    </w:p>
    <w:p w:rsidR="00E3721B" w:rsidRPr="005D4694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подстанция   -   электроустановка,   служащая   для   преобразования  и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распределения  электроэнергии  и  состоящая  из  трансформаторов или других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преобразователей энергии, распределительных устройств, устройств управления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и вспомогательных сооружений;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распределительный пункт - распределительное устройство, предназначенное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для   приема   и  распределения  электроэнергии  на  одном  напряжении  без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преобразования и трансформации, не входящее в состав подстанции;</w:t>
      </w:r>
    </w:p>
    <w:p w:rsidR="00E3721B" w:rsidRPr="005D4694" w:rsidRDefault="00E3721B" w:rsidP="001E3F2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расчетные  показатели объектов местного значения - расчетные показатели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минимально  допустимого уровня обеспеченности объектами местного значения и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расчетные   показатели   максимально   допустимого  уровня  территориальной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доступности   объектов   местного   значения  для  населения  муниципальных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образований;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сельский  населенный  пункт  -  населенный  пункт,  население  которого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преимущественно  занято в сельском хозяйстве, в сфере аграрно-промышленного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комплекса,  а  также  в  традиционной  хозяйственной  деятельности  (термин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вводится для целей местных нормативов градостроительного проектирования);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сквер - озелененная территория общего пользования, являющаяся элементом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оформления  площади,  общественного  центра,  магистрали,  используемая для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кратковременного отдыха и пешеходного транзитного движения;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    трансформаторная подстанция - электрическая подстанция, предназначенная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для  преобразования электрической энергии одного напряжения в электрическую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энергию другого напряжения с помощью трансформаторов;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улица,  площадь  - территории общего пользования, ограниченные красными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линиями улично-д</w:t>
      </w:r>
      <w:r w:rsidR="00A651E8">
        <w:rPr>
          <w:rFonts w:ascii="Times New Roman" w:hAnsi="Times New Roman" w:cs="Times New Roman"/>
          <w:sz w:val="26"/>
          <w:szCs w:val="26"/>
        </w:rPr>
        <w:t>орожной сети населенного пункта.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E3721B" w:rsidRDefault="00E3721B" w:rsidP="00A651E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2. Цели и задачи разработки местных нормативов градостроительного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proofErr w:type="spellStart"/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>Бергульского</w:t>
      </w:r>
      <w:proofErr w:type="spellEnd"/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1E3F2E" w:rsidRPr="005D4694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A651E8" w:rsidRPr="005D4694" w:rsidRDefault="00A651E8" w:rsidP="005D469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8866FD" w:rsidRPr="005D4694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Местные нормативы градостроительного проектирования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="00A651E8">
        <w:rPr>
          <w:rFonts w:ascii="Times New Roman" w:eastAsia="Times New Roman" w:hAnsi="Times New Roman" w:cs="Times New Roman"/>
          <w:sz w:val="26"/>
          <w:szCs w:val="26"/>
        </w:rPr>
        <w:t xml:space="preserve">Северного района Новосибирской области (далее – </w:t>
      </w:r>
      <w:proofErr w:type="spellStart"/>
      <w:r w:rsidR="00A651E8">
        <w:rPr>
          <w:rFonts w:ascii="Times New Roman" w:eastAsia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eastAsia="Times New Roman" w:hAnsi="Times New Roman" w:cs="Times New Roman"/>
          <w:sz w:val="26"/>
          <w:szCs w:val="26"/>
        </w:rPr>
        <w:t xml:space="preserve"> сельсовета) </w:t>
      </w:r>
      <w:r w:rsidRPr="005D4694">
        <w:rPr>
          <w:rFonts w:ascii="Times New Roman" w:hAnsi="Times New Roman" w:cs="Times New Roman"/>
          <w:sz w:val="26"/>
          <w:szCs w:val="26"/>
        </w:rPr>
        <w:t>разработаны в целях обеспечения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пространственного  развития  территории,  соответствующего  качеству  жизни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населения,   предусмотренному   документами   стратегического  планирования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Новосибирской   области,   определяющими   и   содержащими  цели  и  задачи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социально-экономического развития территории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5D4694">
        <w:rPr>
          <w:rFonts w:ascii="Times New Roman" w:hAnsi="Times New Roman" w:cs="Times New Roman"/>
          <w:sz w:val="26"/>
          <w:szCs w:val="26"/>
        </w:rPr>
        <w:t>сельсовета.</w:t>
      </w:r>
      <w:r w:rsidR="001B018B" w:rsidRPr="005D4694"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</w:p>
    <w:p w:rsidR="00E3721B" w:rsidRPr="005D4694" w:rsidRDefault="00E3721B" w:rsidP="001B018B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Местные нормативы градостроительного проектирования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1E3F2E" w:rsidRPr="005D4694">
        <w:rPr>
          <w:rFonts w:ascii="Times New Roman" w:eastAsia="Times New Roman" w:hAnsi="Times New Roman" w:cs="Times New Roman"/>
          <w:sz w:val="26"/>
          <w:szCs w:val="26"/>
        </w:rPr>
        <w:t xml:space="preserve">сельсовета </w:t>
      </w:r>
      <w:r w:rsidRPr="005D4694">
        <w:rPr>
          <w:rFonts w:ascii="Times New Roman" w:hAnsi="Times New Roman" w:cs="Times New Roman"/>
          <w:sz w:val="26"/>
          <w:szCs w:val="26"/>
        </w:rPr>
        <w:t>направлены  на  решение</w:t>
      </w:r>
      <w:r w:rsidR="001B018B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следующих основных задач: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1)  установление  расчетных  показателей, применение которых необходимо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при разработке или корректировке градостроительной документации;</w:t>
      </w:r>
    </w:p>
    <w:p w:rsidR="00E3721B" w:rsidRPr="005D4694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2)  распределение используемых при проектировании расчетных показателей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на   группы   по   видам   градостроительной  документации  (словосочетания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"документы    градостроительного   проектирования"   и   "градостроительная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документация"   используются   в   местных   нормативах  градостроительного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проектирования </w:t>
      </w:r>
      <w:r w:rsidR="001B018B" w:rsidRPr="005D4694">
        <w:rPr>
          <w:rFonts w:ascii="Times New Roman" w:eastAsia="Times New Roman" w:hAnsi="Times New Roman" w:cs="Times New Roman"/>
          <w:sz w:val="26"/>
          <w:szCs w:val="26"/>
        </w:rPr>
        <w:t>сельсовета</w:t>
      </w:r>
      <w:r w:rsidR="001B018B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как равнозначные);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3)  обеспечение  оценки качества градостроительной документации в плане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соответствия   ее   решений   целям  повышения  качества  жизни  населения,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установленным   в  документах </w:t>
      </w:r>
      <w:r w:rsidR="008866FD" w:rsidRPr="005D4694">
        <w:rPr>
          <w:rFonts w:ascii="Times New Roman" w:hAnsi="Times New Roman" w:cs="Times New Roman"/>
          <w:sz w:val="26"/>
          <w:szCs w:val="26"/>
        </w:rPr>
        <w:t xml:space="preserve"> стратегического  планирования</w:t>
      </w:r>
      <w:r w:rsidRPr="005D4694">
        <w:rPr>
          <w:rFonts w:ascii="Times New Roman" w:hAnsi="Times New Roman" w:cs="Times New Roman"/>
          <w:sz w:val="26"/>
          <w:szCs w:val="26"/>
        </w:rPr>
        <w:t>;</w:t>
      </w:r>
    </w:p>
    <w:p w:rsidR="00E3721B" w:rsidRPr="005D4694" w:rsidRDefault="00E3721B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4)   обеспечение   постоянного   контроля   за   соответствием  решений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градостроительной   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документации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   изменяющимся   социально-экономическим</w:t>
      </w:r>
      <w:r w:rsid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условиям  на территории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сельсовета</w:t>
      </w:r>
    </w:p>
    <w:p w:rsidR="00335423" w:rsidRPr="005D4694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Местные нормативы градостроительного проектирования </w:t>
      </w:r>
      <w:proofErr w:type="spellStart"/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>Бергульского</w:t>
      </w:r>
      <w:proofErr w:type="spellEnd"/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="00335423" w:rsidRPr="005D4694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335423" w:rsidRPr="005D4694">
        <w:rPr>
          <w:rFonts w:ascii="Times New Roman" w:eastAsia="Times New Roman" w:hAnsi="Times New Roman" w:cs="Times New Roman"/>
          <w:bCs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 разработаны с учетом следующих</w:t>
      </w:r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требований:</w:t>
      </w:r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5423" w:rsidRPr="005D4694" w:rsidRDefault="00A651E8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E3721B" w:rsidRPr="005D4694">
        <w:rPr>
          <w:rFonts w:ascii="Times New Roman" w:hAnsi="Times New Roman" w:cs="Times New Roman"/>
          <w:sz w:val="26"/>
          <w:szCs w:val="26"/>
        </w:rPr>
        <w:t>охраны окружающей среды;</w:t>
      </w:r>
      <w:r w:rsidR="00335423" w:rsidRPr="005D4694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35423" w:rsidRPr="005D4694" w:rsidRDefault="00A651E8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</w:t>
      </w:r>
      <w:r w:rsidR="00335423" w:rsidRPr="005D4694">
        <w:rPr>
          <w:rFonts w:ascii="Times New Roman" w:hAnsi="Times New Roman" w:cs="Times New Roman"/>
          <w:sz w:val="26"/>
          <w:szCs w:val="26"/>
        </w:rPr>
        <w:t>санитарно-гигиенических норм;</w:t>
      </w:r>
    </w:p>
    <w:p w:rsidR="00E3721B" w:rsidRPr="005D4694" w:rsidRDefault="00E3721B" w:rsidP="00335423">
      <w:pPr>
        <w:widowControl w:val="0"/>
        <w:autoSpaceDE w:val="0"/>
        <w:autoSpaceDN w:val="0"/>
        <w:adjustRightInd w:val="0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A651E8">
        <w:rPr>
          <w:rFonts w:ascii="Times New Roman" w:hAnsi="Times New Roman" w:cs="Times New Roman"/>
          <w:sz w:val="26"/>
          <w:szCs w:val="26"/>
        </w:rPr>
        <w:t>-</w:t>
      </w:r>
      <w:r w:rsidRPr="005D4694">
        <w:rPr>
          <w:rFonts w:ascii="Times New Roman" w:hAnsi="Times New Roman" w:cs="Times New Roman"/>
          <w:sz w:val="26"/>
          <w:szCs w:val="26"/>
        </w:rPr>
        <w:t>охраны памятников истории и культуры;</w:t>
      </w:r>
    </w:p>
    <w:p w:rsidR="00E3721B" w:rsidRPr="005D4694" w:rsidRDefault="00335423" w:rsidP="0033542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A651E8">
        <w:rPr>
          <w:rFonts w:ascii="Times New Roman" w:hAnsi="Times New Roman" w:cs="Times New Roman"/>
          <w:sz w:val="26"/>
          <w:szCs w:val="26"/>
        </w:rPr>
        <w:t>-</w:t>
      </w:r>
      <w:r w:rsidRPr="005D4694">
        <w:rPr>
          <w:rFonts w:ascii="Times New Roman" w:hAnsi="Times New Roman" w:cs="Times New Roman"/>
          <w:sz w:val="26"/>
          <w:szCs w:val="26"/>
        </w:rPr>
        <w:t>правил землепользования и застройки</w:t>
      </w:r>
      <w:r w:rsidR="00E3721B" w:rsidRPr="005D4694">
        <w:rPr>
          <w:rFonts w:ascii="Times New Roman" w:hAnsi="Times New Roman" w:cs="Times New Roman"/>
          <w:sz w:val="26"/>
          <w:szCs w:val="26"/>
        </w:rPr>
        <w:t>;</w:t>
      </w:r>
    </w:p>
    <w:p w:rsidR="00E3721B" w:rsidRPr="005D4694" w:rsidRDefault="005D4694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A651E8">
        <w:rPr>
          <w:rFonts w:ascii="Times New Roman" w:hAnsi="Times New Roman" w:cs="Times New Roman"/>
          <w:sz w:val="26"/>
          <w:szCs w:val="26"/>
        </w:rPr>
        <w:t>-</w:t>
      </w:r>
      <w:r w:rsidR="00E3721B" w:rsidRPr="005D4694">
        <w:rPr>
          <w:rFonts w:ascii="Times New Roman" w:hAnsi="Times New Roman" w:cs="Times New Roman"/>
          <w:sz w:val="26"/>
          <w:szCs w:val="26"/>
        </w:rPr>
        <w:t>пожарной безопасности.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5D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3. Общая характеристика состава и содержания местных</w:t>
      </w:r>
    </w:p>
    <w:p w:rsidR="00E3721B" w:rsidRPr="005D4694" w:rsidRDefault="00E3721B" w:rsidP="005D469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нормативов градостроительного проектирования</w:t>
      </w:r>
    </w:p>
    <w:p w:rsidR="00E3721B" w:rsidRPr="005D4694" w:rsidRDefault="00335423" w:rsidP="005D4694">
      <w:pPr>
        <w:widowControl w:val="0"/>
        <w:autoSpaceDE w:val="0"/>
        <w:autoSpaceDN w:val="0"/>
        <w:adjustRightInd w:val="0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proofErr w:type="spellStart"/>
      <w:r w:rsidRPr="005D4694">
        <w:rPr>
          <w:rFonts w:ascii="Times New Roman" w:eastAsia="Times New Roman" w:hAnsi="Times New Roman" w:cs="Times New Roman"/>
          <w:sz w:val="26"/>
          <w:szCs w:val="26"/>
        </w:rPr>
        <w:t>Бергульского</w:t>
      </w:r>
      <w:proofErr w:type="spellEnd"/>
      <w:r w:rsidRPr="005D4694">
        <w:rPr>
          <w:rFonts w:ascii="Times New Roman" w:eastAsia="Times New Roman" w:hAnsi="Times New Roman" w:cs="Times New Roman"/>
          <w:sz w:val="26"/>
          <w:szCs w:val="26"/>
        </w:rPr>
        <w:t xml:space="preserve"> сельсовета </w:t>
      </w:r>
      <w:r w:rsidRPr="005D4694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    В соответствии с </w:t>
      </w:r>
      <w:hyperlink r:id="rId13" w:history="1">
        <w:r w:rsidRPr="005D4694">
          <w:rPr>
            <w:rFonts w:ascii="Times New Roman" w:hAnsi="Times New Roman" w:cs="Times New Roman"/>
            <w:sz w:val="26"/>
            <w:szCs w:val="26"/>
          </w:rPr>
          <w:t>ч. 5 ст. 29.2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4694">
        <w:rPr>
          <w:rFonts w:ascii="Times New Roman" w:hAnsi="Times New Roman" w:cs="Times New Roman"/>
          <w:sz w:val="26"/>
          <w:szCs w:val="26"/>
        </w:rPr>
        <w:t>ГрК</w:t>
      </w:r>
      <w:proofErr w:type="spellEnd"/>
      <w:r w:rsidRPr="005D4694">
        <w:rPr>
          <w:rFonts w:ascii="Times New Roman" w:hAnsi="Times New Roman" w:cs="Times New Roman"/>
          <w:sz w:val="26"/>
          <w:szCs w:val="26"/>
        </w:rPr>
        <w:t xml:space="preserve"> РФ МНГП </w:t>
      </w:r>
      <w:proofErr w:type="spellStart"/>
      <w:r w:rsidR="00A651E8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A651E8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включают в себя: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1)  основную  часть (расчетные показатели минимально допустимого уровня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обеспеченности   объектами  местного  значения,  относящимися  к  областям,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указанным в </w:t>
      </w:r>
      <w:hyperlink r:id="rId14" w:history="1">
        <w:r w:rsidRPr="005D4694">
          <w:rPr>
            <w:rFonts w:ascii="Times New Roman" w:hAnsi="Times New Roman" w:cs="Times New Roman"/>
            <w:sz w:val="26"/>
            <w:szCs w:val="26"/>
          </w:rPr>
          <w:t>пункт</w:t>
        </w:r>
        <w:r w:rsidR="00335423" w:rsidRPr="005D4694">
          <w:rPr>
            <w:rFonts w:ascii="Times New Roman" w:hAnsi="Times New Roman" w:cs="Times New Roman"/>
            <w:sz w:val="26"/>
            <w:szCs w:val="26"/>
          </w:rPr>
          <w:t>е</w:t>
        </w:r>
        <w:r w:rsidRPr="005D4694">
          <w:rPr>
            <w:rFonts w:ascii="Times New Roman" w:hAnsi="Times New Roman" w:cs="Times New Roman"/>
            <w:sz w:val="26"/>
            <w:szCs w:val="26"/>
          </w:rPr>
          <w:t xml:space="preserve">  1  части  5  статьи  23</w:t>
        </w:r>
      </w:hyperlink>
      <w:r w:rsidRPr="005D4694">
        <w:rPr>
          <w:rFonts w:ascii="Times New Roman" w:hAnsi="Times New Roman" w:cs="Times New Roman"/>
          <w:sz w:val="26"/>
          <w:szCs w:val="26"/>
        </w:rPr>
        <w:t>,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D4694">
        <w:rPr>
          <w:rFonts w:ascii="Times New Roman" w:hAnsi="Times New Roman" w:cs="Times New Roman"/>
          <w:sz w:val="26"/>
          <w:szCs w:val="26"/>
        </w:rPr>
        <w:t>Гр</w:t>
      </w:r>
      <w:r w:rsidR="00A651E8">
        <w:rPr>
          <w:rFonts w:ascii="Times New Roman" w:hAnsi="Times New Roman" w:cs="Times New Roman"/>
          <w:sz w:val="26"/>
          <w:szCs w:val="26"/>
        </w:rPr>
        <w:t>К</w:t>
      </w:r>
      <w:proofErr w:type="spellEnd"/>
      <w:r w:rsidR="00A651E8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РФ, 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для населения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Pr="005D4694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335423" w:rsidRPr="005D4694">
        <w:rPr>
          <w:rFonts w:ascii="Times New Roman" w:hAnsi="Times New Roman" w:cs="Times New Roman"/>
          <w:sz w:val="26"/>
          <w:szCs w:val="26"/>
        </w:rPr>
        <w:t xml:space="preserve"> сельсовета;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2)  правила  и область применения расчетных показателей, содержащихся 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градостроительного  проектирования</w:t>
      </w:r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5D4694">
        <w:rPr>
          <w:rFonts w:ascii="Times New Roman" w:hAnsi="Times New Roman" w:cs="Times New Roman"/>
          <w:sz w:val="26"/>
          <w:szCs w:val="26"/>
        </w:rPr>
        <w:t>сельсовета;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3)  материалы  по  обоснованию  расчетных  показателей,  содержащихся в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основной   части   местных   нормативов  градостроительного  проектирования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A85F05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Pr="005D4694">
        <w:rPr>
          <w:rFonts w:ascii="Times New Roman" w:hAnsi="Times New Roman" w:cs="Times New Roman"/>
          <w:sz w:val="26"/>
          <w:szCs w:val="26"/>
        </w:rPr>
        <w:t>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85F05" w:rsidRPr="005D4694" w:rsidRDefault="00A85F05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  <w:sectPr w:rsidR="00A85F05" w:rsidRPr="005D4694">
          <w:pgSz w:w="11905" w:h="16838"/>
          <w:pgMar w:top="567" w:right="567" w:bottom="1134" w:left="1418" w:header="0" w:footer="0" w:gutter="0"/>
          <w:cols w:space="720"/>
          <w:noEndnote/>
        </w:sectPr>
      </w:pPr>
    </w:p>
    <w:p w:rsidR="00E3721B" w:rsidRPr="005D4694" w:rsidRDefault="00E3721B" w:rsidP="00A4146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>4. Расчетные показатели минимально допустимого уровня</w:t>
      </w:r>
      <w:r w:rsidR="00C3746C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обеспеченности объектами </w:t>
      </w:r>
      <w:proofErr w:type="spellStart"/>
      <w:r w:rsidR="00A41460" w:rsidRPr="005D4694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3B48FA">
        <w:rPr>
          <w:rFonts w:ascii="Times New Roman" w:hAnsi="Times New Roman" w:cs="Times New Roman"/>
          <w:sz w:val="26"/>
          <w:szCs w:val="26"/>
        </w:rPr>
        <w:t xml:space="preserve">сельсовета Северного района Новосибирской области </w:t>
      </w:r>
      <w:r w:rsidRPr="005D4694">
        <w:rPr>
          <w:rFonts w:ascii="Times New Roman" w:hAnsi="Times New Roman" w:cs="Times New Roman"/>
          <w:sz w:val="26"/>
          <w:szCs w:val="26"/>
        </w:rPr>
        <w:t>и расчетные показатели максимально допустимого уровня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территориальной доступности таких объектов для населения</w:t>
      </w:r>
    </w:p>
    <w:p w:rsidR="00E3721B" w:rsidRPr="005D4694" w:rsidRDefault="00E3721B" w:rsidP="00A85F05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4.1. Расчетные показатели минимально допустимого уровня</w:t>
      </w:r>
      <w:r w:rsidR="00AD6179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  <w:r w:rsidR="00A41460" w:rsidRPr="005D4694">
        <w:rPr>
          <w:rFonts w:ascii="Times New Roman" w:hAnsi="Times New Roman" w:cs="Times New Roman"/>
          <w:sz w:val="26"/>
          <w:szCs w:val="26"/>
        </w:rPr>
        <w:t xml:space="preserve"> допустимого уровня территориальной доступности объектов местного значения в области инженерных коммуникаций</w:t>
      </w: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276"/>
        <w:gridCol w:w="851"/>
        <w:gridCol w:w="1161"/>
        <w:gridCol w:w="1474"/>
        <w:gridCol w:w="2041"/>
        <w:gridCol w:w="1417"/>
        <w:gridCol w:w="567"/>
        <w:gridCol w:w="510"/>
        <w:gridCol w:w="284"/>
        <w:gridCol w:w="793"/>
        <w:gridCol w:w="1077"/>
        <w:gridCol w:w="567"/>
        <w:gridCol w:w="510"/>
        <w:gridCol w:w="256"/>
        <w:gridCol w:w="1675"/>
      </w:tblGrid>
      <w:tr w:rsidR="00E3721B" w:rsidRPr="005D4694" w:rsidTr="00A41460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5D4694" w:rsidTr="00A4146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 w:rsidP="00A4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Электростанции, подстанция </w:t>
            </w:r>
            <w:r w:rsidR="00A41460" w:rsidRPr="005D469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кВ, переключательные пункты, трансформаторные подстанции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, линии электропередачи </w:t>
            </w:r>
            <w:r w:rsidR="00A41460" w:rsidRPr="005D469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кВ, линии электропередачи 10 кВ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Норматив потребления коммунальных услуг по электроснабжению, кВт·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/чел./мес. при количестве проживающих человек в квартире (жилом доме)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Количество комнат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 человек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 человека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 человека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 человека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 человек и более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наличии электрической плиты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165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79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64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180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87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61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наличии газовой плиты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 комната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 комнаты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131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63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 комнаты и более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142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88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68</w:t>
            </w:r>
          </w:p>
        </w:tc>
        <w:tc>
          <w:tcPr>
            <w:tcW w:w="10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55</w:t>
            </w:r>
          </w:p>
        </w:tc>
        <w:tc>
          <w:tcPr>
            <w:tcW w:w="1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</w:tr>
      <w:tr w:rsidR="00E3721B" w:rsidRPr="005D4694" w:rsidTr="00A41460">
        <w:tc>
          <w:tcPr>
            <w:tcW w:w="1276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 w:rsidP="00A4146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понизительных подстанций </w:t>
            </w:r>
            <w:r w:rsidR="00A41460" w:rsidRPr="005D469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кВ и переключательных пунктов, кв. м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отводимого для трансформаторных подстанций, распределительных 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секционирующих пунктов, кв. м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Вид объекта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Мачтовые подстанции мощностью от 25 до 250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Комплектные подстанции с одним трансформатором мощностью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от 25 до 630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50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Комплектные подстанции с двумя трансформаторами мощностью от 160 до 630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Подстанции с двумя трансформаторами закрытого типа мощностью от 160 до 630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кВА</w:t>
            </w:r>
            <w:proofErr w:type="spellEnd"/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150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наружной установки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250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Распределительные пункты закрытого типа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200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Секционирующие пункты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более 80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272F0" w:rsidRPr="005D4694" w:rsidTr="00A41460">
        <w:trPr>
          <w:gridAfter w:val="13"/>
          <w:wAfter w:w="12332" w:type="dxa"/>
          <w:trHeight w:val="3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5D4694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2F0" w:rsidRPr="005D4694" w:rsidRDefault="00B272F0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Котельные, тепловые перекачивающие насос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ные станции, центральные тепловые пункты, теплопровод магистральный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Удельные расходы тепла на отопление жилых зданий, кДж/(кв. м °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C·сут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.), общей площади здания по этажности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Отапливаемая площадь дома, кв. м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Этажность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4, 5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60 и менее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135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105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115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1000 и более</w:t>
            </w:r>
          </w:p>
        </w:tc>
        <w:tc>
          <w:tcPr>
            <w:tcW w:w="7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80</w:t>
            </w:r>
          </w:p>
        </w:tc>
        <w:tc>
          <w:tcPr>
            <w:tcW w:w="7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для отдельно стоящих котельных в зависимости от мощности,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Теплопроизводительность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котельной, Гкал/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(МВт)</w:t>
            </w:r>
          </w:p>
        </w:tc>
        <w:tc>
          <w:tcPr>
            <w:tcW w:w="56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земельных участков,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, котельных, работающих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 твердом топливе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на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газомазутном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топливе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5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св. 5 до 10 (св. 6 до 12)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св. 10 до 50 (св. 12 до 58)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1,5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св. 50 до 100 (св. 58 до 116)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св. 100 до 200 (св. 16 до 233)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3,7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св. 200 до 400 (св. 233 до 466)</w:t>
            </w:r>
          </w:p>
        </w:tc>
        <w:tc>
          <w:tcPr>
            <w:tcW w:w="26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4,3</w:t>
            </w:r>
          </w:p>
        </w:tc>
        <w:tc>
          <w:tcPr>
            <w:tcW w:w="30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 w:rsidTr="00A41460"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B272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Водозаборы, станции водоподготовки (водопроводные очистные сооружения), насосные станции, резервуары, водонапорные башни, водопровод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Показатель удельного водопотребления,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 на 1 чел.</w:t>
            </w: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Степень благоустройства районов жилой застройки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Минимальная норма удельного хозяйственно-питьевого водопотребления на одного жителя, среднесуточная (за год),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л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 на человека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без ванн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местными водонагревателями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Застройка зданиями, оборудованными внутренним водопроводом и канализацией, с ванными и централизованным горячим водоснабжением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220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для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 для размещения станций водоподготовки в зависимости от их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производительности следует принимать по проекту, но не более,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Производительность станций водоподготовки, тыс. куб. м/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0,1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0,1 до 0,2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0,25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0,2 до 0,4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0,4 до 0,8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0,8 до 12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12 до 32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32 до 80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80 до 125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125 до 250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250 до 400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400 до 800</w:t>
            </w:r>
          </w:p>
        </w:tc>
        <w:tc>
          <w:tcPr>
            <w:tcW w:w="4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5D4694" w:rsidTr="00A41460"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765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B5316" w:rsidRPr="005D4694" w:rsidTr="00A41460">
        <w:trPr>
          <w:gridAfter w:val="14"/>
          <w:wAfter w:w="13183" w:type="dxa"/>
          <w:trHeight w:val="322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316" w:rsidRPr="005D4694" w:rsidRDefault="00AB5316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41460">
        <w:tc>
          <w:tcPr>
            <w:tcW w:w="144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1. Расстояние от инженерных коммуникаций до объектов культурного наследия и их территорий следует принимать из расчета,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, не менее: от сетей водопровода, канализации и теплоснабжения (кроме разводящих) - 15, до других подземных инженерных сетей - 5.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2. В условиях реконструкции объектов культурного наследия указанные расстояния допускается сокращать, но принимать,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, не менее: от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водонесущих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сетей - 5,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неводонесущих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- 2</w:t>
            </w:r>
          </w:p>
        </w:tc>
      </w:tr>
    </w:tbl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B5316" w:rsidRPr="005D4694" w:rsidRDefault="00AB5316" w:rsidP="00E37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AB5316" w:rsidRPr="005D4694" w:rsidRDefault="00AB5316" w:rsidP="00E3721B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A06A53">
      <w:pPr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  <w:sz w:val="26"/>
          <w:szCs w:val="26"/>
        </w:rPr>
        <w:sectPr w:rsidR="00E3721B" w:rsidRPr="005D4694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A06A53" w:rsidRPr="005D4694" w:rsidRDefault="00A06A53" w:rsidP="00A06A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>4.2. Расчетные показатели минимально допустимого уровня обеспеченности и расчетные показатели максимально</w:t>
      </w:r>
    </w:p>
    <w:p w:rsidR="00A06A53" w:rsidRPr="005D4694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 объектов</w:t>
      </w:r>
    </w:p>
    <w:p w:rsidR="00A06A53" w:rsidRPr="005D4694" w:rsidRDefault="00A06A53" w:rsidP="00A06A5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местного значения в области автомобильных дорог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409"/>
        <w:gridCol w:w="142"/>
        <w:gridCol w:w="4111"/>
        <w:gridCol w:w="3827"/>
        <w:gridCol w:w="284"/>
        <w:gridCol w:w="1338"/>
        <w:gridCol w:w="79"/>
        <w:gridCol w:w="2727"/>
      </w:tblGrid>
      <w:tr w:rsidR="00BE779C" w:rsidRPr="005D4694" w:rsidTr="003B48FA">
        <w:trPr>
          <w:trHeight w:val="20"/>
        </w:trPr>
        <w:tc>
          <w:tcPr>
            <w:tcW w:w="534" w:type="dxa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№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409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4253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BE779C" w:rsidRPr="005D4694" w:rsidTr="003B48FA">
        <w:trPr>
          <w:trHeight w:val="20"/>
        </w:trPr>
        <w:tc>
          <w:tcPr>
            <w:tcW w:w="15451" w:type="dxa"/>
            <w:gridSpan w:val="9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 области автомобильных дорог местного значения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 w:val="restart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Автомобильные дороги местного значения</w:t>
            </w:r>
          </w:p>
        </w:tc>
        <w:tc>
          <w:tcPr>
            <w:tcW w:w="12366" w:type="dxa"/>
            <w:gridSpan w:val="6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улично-дорожной сети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2366" w:type="dxa"/>
            <w:gridSpan w:val="6"/>
            <w:shd w:val="clear" w:color="auto" w:fill="auto"/>
          </w:tcPr>
          <w:p w:rsidR="00BE779C" w:rsidRPr="005D4694" w:rsidRDefault="00BE779C" w:rsidP="003B48FA">
            <w:pPr>
              <w:widowControl w:val="0"/>
              <w:autoSpaceDE w:val="0"/>
              <w:autoSpaceDN w:val="0"/>
              <w:adjustRightInd w:val="0"/>
              <w:ind w:right="17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Классификация улиц и дорог населенных пунктов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исходя из функционального назначения, скоростей движения и состава потока, а также расшифровка приведенных ниже сокращений прив</w:t>
            </w:r>
            <w:r w:rsidR="003B48FA">
              <w:rPr>
                <w:rFonts w:ascii="Times New Roman" w:eastAsia="Times New Roman" w:hAnsi="Times New Roman" w:cs="Times New Roman"/>
                <w:sz w:val="26"/>
                <w:szCs w:val="26"/>
              </w:rPr>
              <w:t>едены</w:t>
            </w:r>
            <w:proofErr w:type="gramEnd"/>
            <w:r w:rsidR="003B48FA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 таблице № 1 приложения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1" w:name="Par59"/>
            <w:bookmarkEnd w:id="1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**В условиях реконструкции, а также для улиц районного значения допускается устройство магистралей или их участков, предназначенных только для пропуска средств общественного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 с организацией автобусно-пешеходного движения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5D4694" w:rsidTr="003B48FA">
        <w:trPr>
          <w:trHeight w:val="7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2,75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2,75-3*****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с преимущественным движением грузовых автомобилей следует увеличивать ширину полосы движения до 4 м. Для подъезда к отдельно стоящим трансформаторным подстанциям, газораспределительным пунктам допускается предусматривать проезды с шириной проезжей части 4 м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2" w:name="Par106"/>
            <w:bookmarkEnd w:id="2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****Вдоль проездов допускается устраивать места для временного складирования снега, счищаемого с проездов, в виде полос с твердым покрытием шириной не менее 0,5 м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3" w:name="Par109"/>
            <w:bookmarkEnd w:id="3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*****На однополосных проездах следует предусматривать разъездные площадки шириной не менее 6 метров и длиной не менее 15 метров на расстоянии не более 75 метров между ними, на территории малоэтажной жилой застройки расстояние между разъездными площадками следует принимать не более 200 метров; в пределах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фасадов зданий, имеющих входы, проезды следует принимать шириной 5,5 метра</w:t>
            </w:r>
            <w:proofErr w:type="gramEnd"/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для сельских населенных пунктов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ДПос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УГл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2-3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УЖо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УЖв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Прх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Наибольший продольный уклон, °/00</w:t>
            </w: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основные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УПш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второстепенные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улиц и дорог в красных линиях,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УЖ</w:t>
            </w:r>
          </w:p>
        </w:tc>
        <w:tc>
          <w:tcPr>
            <w:tcW w:w="4428" w:type="dxa"/>
            <w:gridSpan w:val="4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15-25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УПр</w:t>
            </w:r>
            <w:proofErr w:type="spellEnd"/>
          </w:p>
        </w:tc>
        <w:tc>
          <w:tcPr>
            <w:tcW w:w="4428" w:type="dxa"/>
            <w:gridSpan w:val="4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краевых полос между проезжей частью и бортовым камнем (окаймляющими плитами или лотками) на магистральных улицах и дорогах,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непрерывного движения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0,75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общегородского и районного значения регулируемого движения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 стесненных условиях и при реконструкции краевые полосы допускается устраивать только на дорогах скоростного и магистральных улицах непрерывного движения шириной соответственно 0,75 м и 0,5 м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части улиц и дорог,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827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Категория улиц</w:t>
            </w:r>
          </w:p>
        </w:tc>
        <w:tc>
          <w:tcPr>
            <w:tcW w:w="44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Радиус закругления проезжей части,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м</w:t>
            </w:r>
            <w:proofErr w:type="gramEnd"/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реконструкции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магистральные улицы и дороги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местного значения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8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проезды</w:t>
            </w:r>
          </w:p>
        </w:tc>
        <w:tc>
          <w:tcPr>
            <w:tcW w:w="1701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боковых проездов,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без устройства специальных полос для стоянки автомобилей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7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одном направлении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528" w:type="dxa"/>
            <w:gridSpan w:val="4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движении транспорта и организации по местному проезду движения общественного пассажирского транспорта в двух направлениях</w:t>
            </w:r>
          </w:p>
        </w:tc>
        <w:tc>
          <w:tcPr>
            <w:tcW w:w="2727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10,5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примыканий 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пешеходно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-транспортных улиц, улиц и дорог местного значения, проездов к другим магистральным улицам и дорогам регулируемого движения,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50 от конца кривой радиуса закругления на ближайшем пересечении и не менее 150 друг от друга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магистральных дорог до линии регулирования жилой застройки,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не менее 50, при условии применения 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шумозащитных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устройств – не менее 25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Расстояния от края основной проезжей части магистральных дорог до объектов культурного наследия и их территорий,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 условиях сложного рельефа – не менее 100, на плоском рельефе – 50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от края основной проезжей части улиц, местных или боковых проездов до линии застройки,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более 25, в случаях превышения указанного расстояния следует предусматривать на расстоянии не ближе 5 м от линии застройки полосу шириной 6 м, пригодную для проезда пожарных машин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Расстояние до въездов и выездов на территории кварталов и микрорайонов, иных прилегающих территорий,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границы пересечений улиц, дорог и проездов местного значения (от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стоп-линии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от остановочного пункта общественного транспорта при отсутствии островка безопасности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30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от остановочного пункта общественного транспорта при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поднятом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над уровнем проезжей части островком безопасности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менее 20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Тупиковые проезды следует принимать протяженностью не более 150 метров. В конце проезжих частей тупиковых улиц и дорог следует устраивать площадки с островками диаметром не менее 16 м для разворота автомобилей и не менее 30 м при организации конечного пункта для разворота средств общественного пассажирского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транспорта. Использование поворотных площадок для стоянки автомобилей не допускается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пешеходными переходами,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5449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магистральных дорогах регулируемого движения в пределах застроенной территории</w:t>
            </w:r>
          </w:p>
        </w:tc>
        <w:tc>
          <w:tcPr>
            <w:tcW w:w="2806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300 м в одном уровне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2366" w:type="dxa"/>
            <w:gridSpan w:val="6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Категории и параметры автомобильных дорог общей сети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Расчетная скорость движения,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/ч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80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Число полос движения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val="en-US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7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7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44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4" w:name="Par309"/>
            <w:bookmarkEnd w:id="4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*Количество полос движения на дорогах I категории устанавливают в зависимости от интенсивности движения: свыше 14000 до 40000 ед./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. – 4 полосы; свыше 40000 до 80000 ед./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– 6 полос; свыше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80000 ед./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сут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. – 8 полос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полосы движения,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7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7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gridAfter w:val="5"/>
          <w:wAfter w:w="8255" w:type="dxa"/>
          <w:trHeight w:val="544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Ширина обочины,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1,75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Наименьший радиус кривых в плане,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150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Наибольший продольный уклон,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°/00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V***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70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bookmarkStart w:id="5" w:name="Par381"/>
            <w:bookmarkEnd w:id="5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***На участках дорог категории V с уклонами более 60°/00 в местах с неблагоприятными гидрологическими условиями и с легкоразмываемыми грунтами, с уменьшенной шириной обочин предусматривают устройство разъездов. Расстояния между разъездами принимают равными расстояниям видимости встречного автомобиля, но не более 1 км. Ширину земляного полотна и проезжей части на разъездах принимают по нормам дорог категории IV, а наименьшую длину разъезда – 30 м. Переход от однополосной проезжей части к </w:t>
            </w:r>
            <w:proofErr w:type="spell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двухполосной</w:t>
            </w:r>
            <w:proofErr w:type="spell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осуществляют на протяжении 10 м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Общая площадь полосы отвода под автомобильную дорогу,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/км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III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4,6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IV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3,5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категория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3,3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Минимально допустимая обеспеченность подъездами до границы земельных участков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улицы и дороги местного значения, автомобильная дорога IV категории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Минимальные радиусы кривых в плане для размещения остановок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на автомобильных дорогах категории,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на дорогах III категории – 600, на дорогах IV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noBreakHyphen/>
              <w:t>V категорий – 400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Минимальная длина остановочной площадки,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 допустимые радиусы кривых в плане для размещения остановок,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автомобильных дорогах III категории – 600, на автомобильных дорогах IV-V категорий – 400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Минимальное расстояние между остановочными пунктами,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для автомобильных дорог I-III категорий – 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 w:val="restart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Автостанции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Вместимость автостанции, пассажир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200 до 400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Количество постов (посадки/высадки)</w:t>
            </w: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100 до 200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2 (1/1)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при расчетном суточном отправлении от 600 до 1000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5 (3/2)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 на один пост посадки-высадки пассажиров (без учета привокзальной площади),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0,13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</w:t>
            </w: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территориальной доступности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не нормируется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 w:val="restart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3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Автозаправочные станции</w:t>
            </w: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Уровень обеспеченности, колонка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1 на 1200 автомобилей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  <w:lang w:val="en-US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2 колонки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5 колонок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7 колонок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9 колонок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0,35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на 11 колонок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 w:val="restart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551" w:type="dxa"/>
            <w:gridSpan w:val="2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Автокемпинги, мотели</w:t>
            </w:r>
          </w:p>
        </w:tc>
        <w:tc>
          <w:tcPr>
            <w:tcW w:w="4111" w:type="dxa"/>
            <w:vMerge w:val="restart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Максимальное расстояние между объектами,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км</w:t>
            </w:r>
            <w:proofErr w:type="gramEnd"/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на автомобильных дорогах категории </w:t>
            </w:r>
            <w:proofErr w:type="gramStart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I</w:t>
            </w:r>
            <w:proofErr w:type="gramEnd"/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В, II, III, IV, V</w:t>
            </w:r>
          </w:p>
        </w:tc>
        <w:tc>
          <w:tcPr>
            <w:tcW w:w="4144" w:type="dxa"/>
            <w:gridSpan w:val="3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BE779C" w:rsidRPr="005D4694" w:rsidTr="003B48FA">
        <w:trPr>
          <w:trHeight w:val="20"/>
        </w:trPr>
        <w:tc>
          <w:tcPr>
            <w:tcW w:w="534" w:type="dxa"/>
            <w:vMerge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  <w:gridSpan w:val="2"/>
            <w:vMerge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8255" w:type="dxa"/>
            <w:gridSpan w:val="5"/>
            <w:shd w:val="clear" w:color="auto" w:fill="auto"/>
          </w:tcPr>
          <w:p w:rsidR="00BE779C" w:rsidRPr="005D4694" w:rsidRDefault="00BE779C" w:rsidP="00BE779C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eastAsia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5D4694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E3721B" w:rsidRPr="005D4694" w:rsidSect="00AB5316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5D4694" w:rsidRDefault="00E3721B" w:rsidP="00C374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C3746C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4.3. Расчетные показатели минимально допустимого уровня</w:t>
      </w:r>
      <w:r w:rsidR="00C3746C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5D4694" w:rsidRDefault="00E3721B" w:rsidP="00C3746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C3746C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объектов местного значения в области образования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1474"/>
        <w:gridCol w:w="1474"/>
        <w:gridCol w:w="2041"/>
        <w:gridCol w:w="3572"/>
        <w:gridCol w:w="3175"/>
      </w:tblGrid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173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Дошкольные 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70% охват от общего числа детей в возрасте от 1 до 7 лет;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 мест на 1 тыс. человек общей численности населения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кв. м/место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м/место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комплексе организаций свыше 500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групповой площадки для детей ясельного возраста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5D4694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1. Для сельских населенных пунктов с численностью населения менее 200 человек следует предусматривать дошкольные образовательные организации малой вместимости, объединенные с начальными классами. Минимальную обеспеченность такими организациями и их вместимость следует принимать по заданию на проектирование в зависимости от местных условий.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могут быть уменьшены на 25% - в условиях реконструкции; на 15% - при размещении на рельефе с уклоном более 20%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Общеобразовательные организации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учащийся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100% охват от общего числа детей в возрасте от 7 до 16 лет начальным и основным общим образованием, 90% охват общего числа детей в возрасте от 16 до 18 лет средним общим образованием;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 учащихся на 1 тыс. человек общей численности населения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для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размещения объекта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участка, кв. м/учащийся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обеспеченность, кв. м/учащийся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40 до 400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400 до 500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500 до 600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600 до 800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800 до 1100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1100 до 1500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1500 до 2000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2000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- 2000;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- 4000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учащихся 1 ступени обучения - 15 в одну сторону;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учащихся 2 - 3 ступени обучения - 30 в одну сторону</w:t>
            </w:r>
          </w:p>
        </w:tc>
      </w:tr>
      <w:tr w:rsidR="00E3721B" w:rsidRPr="005D4694" w:rsidTr="00DB5133">
        <w:trPr>
          <w:trHeight w:val="28"/>
        </w:trPr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1355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1. Для учащихся, проживающих на расстоянии свыше предельно допустимого транспортного обслуживания, а также при транспортной недоступности в период неблагоприятных погодных условий и отсутствии транспортного круглогодичного сообщения предусматривается пришкольный интернат из расчета 10% мест общей вместимости организации.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Размеры земельных участков школ могут быть уменьшены на 20% - в условиях реконструкции; увеличены на 30% - в сельских поселениях, если для организации учебно-опытной работы не предусмотрены специальные.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3. Спортивная зона школы может быть объединена с физкультурно-оздоровительным комплексом микрорайона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Организации дополнительного образования</w:t>
            </w:r>
          </w:p>
        </w:tc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80% охват от общего числа детей в возрасте от 5 до 18 лет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 для отдельно стоящего здания либо в первых этажах жилых зданий, общественных центров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67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 в одну сторону</w:t>
            </w:r>
          </w:p>
        </w:tc>
      </w:tr>
      <w:tr w:rsidR="00E3721B" w:rsidRPr="005D4694">
        <w:tc>
          <w:tcPr>
            <w:tcW w:w="1355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 1. Норматив обеспеченности следует определять исходя из количества детей, фактически охваченных дополнительным образованием.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Проектная мощность организаций дополнительного образования определяется согласно удельному нормативу 60 мест на 1 тыс. человек общей численности населения, установленному с учетом сменности данных организаций</w:t>
            </w:r>
          </w:p>
        </w:tc>
      </w:tr>
    </w:tbl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4.4. Расчетные показатели минимально допустимого уровня</w:t>
      </w:r>
      <w:r w:rsidR="000A2E2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объектов местного значения в области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физической культуры и массового спорта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3175"/>
      </w:tblGrid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117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единица измерения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Предельное значение расчетного показателя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Физкульт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урно-спортивные залы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обеспеченности, кв.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 площади пола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350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Плавательные бассейны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зеркала воды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75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размещение преимущественно в административных центрах муниципальных районов в пределах транспортной доступности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Плоскостные сооружения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1950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преимущественно в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административных центрах муниципальных районов в пределах транспортной доступности</w:t>
            </w:r>
          </w:p>
        </w:tc>
      </w:tr>
      <w:tr w:rsidR="00E3721B" w:rsidRPr="005D4694">
        <w:tc>
          <w:tcPr>
            <w:tcW w:w="135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1. Значения расчетных показателей минимально допустимого уровня обеспеченности определены суммарно для объектов физической культуры и спорта, находящихся в ведении Новосибирской области, муниципальных районов, городских округов и поселений.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Физкультурно-спортивные сооружения сети общего пользования следует объединять со спортивными объектами образовательных школ и других учебных заведений, учреждений отдыха и культуры с возможным сокращением территории.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3. Для небольших поселений нормы расчета залов и бассейнов необходимо принимать с учетом минимальной вместимости объектов по технологическим требованиям. Комплексы физкультурно-оздоровительных площадок предусматриваются в каждом поселении.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4. В поселениях с числом жителей от 2 до 5 тыс. следует предусматривать один спортивный зал площадью 540 кв. м.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5. Долю физкультурно-спортивных сооружений, размещаемых в жилом районе, следует принимать от общей нормы территории - 35%, спортивные залы - 50%, бассейны - 45%.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6. Общая площадь территорий, занимаемых объектами физической культуры и массового спорта, не менее 7000 кв. м/1 тыс. чел.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7. Прочие виды объектов физической культуры и массового спорта местного значения муниципального района размещаются по заданию на проектирование.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8. Доступность физкультурно-спортивных сооружений городского значения не должна превышать 30 мин.</w:t>
            </w:r>
          </w:p>
        </w:tc>
      </w:tr>
    </w:tbl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E3721B" w:rsidRPr="005D4694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4.5. Расчетные показатели минимально допустимого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уровня обеспеченности и расчетные показатели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максимально допустимого уровня территориальной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доступности объектов местного значения в области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утилизации и переработки бытовых и промышленных отходов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4"/>
        <w:gridCol w:w="2381"/>
        <w:gridCol w:w="2381"/>
        <w:gridCol w:w="2211"/>
        <w:gridCol w:w="1991"/>
        <w:gridCol w:w="4819"/>
      </w:tblGrid>
      <w:tr w:rsidR="00E3721B" w:rsidRPr="005D4694" w:rsidTr="00AD6179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вида ОМЗ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 ОМЗ, единица измерения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5D4694" w:rsidTr="00AD6179">
        <w:tc>
          <w:tcPr>
            <w:tcW w:w="143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утилизации и переработки бытовых и промышленных отходов</w:t>
            </w:r>
          </w:p>
        </w:tc>
      </w:tr>
      <w:tr w:rsidR="00E3721B" w:rsidRPr="005D4694" w:rsidTr="00AD61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Полигоны бытовых и промышленных отходов, объекты по транспортировке, обезвреживанию и переработке бытовых отходов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 предприятия и сооружения по транспортировке, обезвреживанию и переработке бытовых отходов,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/1 тыс. тонн твердых бытовых отходов в год</w:t>
            </w: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предприятия по промышленной переработке бытовых отходов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склады свежего компоста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полигоны (кроме полигонов по обезвреживанию и захоронению токсичных промышленных отходов)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поля компостирования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0,5 - 1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поля ассенизации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2 - 4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сливные станции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0,02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мусороперегрузочные станции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0,04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поля складирования и захоронения обезвреженных осадков (по сухому веществу)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0,3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мусоросжигательные и мусороперерабатывающие объекты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мощностью, тыс. т в год: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40</w:t>
            </w:r>
          </w:p>
        </w:tc>
        <w:tc>
          <w:tcPr>
            <w:tcW w:w="4819" w:type="dxa"/>
            <w:tcBorders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0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свыше 40</w:t>
            </w:r>
          </w:p>
        </w:tc>
        <w:tc>
          <w:tcPr>
            <w:tcW w:w="48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AD6179" w:rsidRPr="005D4694" w:rsidTr="00AD6179">
        <w:trPr>
          <w:gridAfter w:val="5"/>
          <w:wAfter w:w="13783" w:type="dxa"/>
          <w:trHeight w:val="322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 w:rsidTr="00AD61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100 тыс. т и более отходов в год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до жилой застройки, ландшафтно-рекреационных зон, зон отдыха, территорий санаториев, домов отдыха, садоводческих товариществ, дачных и садово-огородных участков, спортивных сооружений, детских площадок,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образовательных и детских организаций, лечебно-профилактических и оздоровительных организаций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Предприятия по обезвреживанию токсичных промышленных отходов мощностью менее 100 тыс. т отходов в год</w:t>
            </w: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 w:rsidTr="00AD61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Участки захоронения токсичных промышленных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регламентируется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Мощность, тыс. тонн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определяется количеством токсичных отходов, которое может быть принято на полигон в течение одного года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населенных пунктов и открытых водоемов, а также до объектов, используемых в культурно-оздоровительных целях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сельскохозяйственных угодий, автомобильных и железных дорог общей сети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границ леса и лесопосадок, не предназначенных для использования в рекреационных целях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 w:rsidTr="00AD61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Скотомогильники (биотермические ямы)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участка, кв. м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менее 600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 от скотомогильника (биотермической ямы),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автомобильных, железных дорог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скотопрогонов и пастбищ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 w:rsidTr="00AD6179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Установки термической утилизации биологических отходов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Минимальные расстояния,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жилых, общественных зданий, животноводческих ферм (комплексов)</w:t>
            </w:r>
          </w:p>
        </w:tc>
        <w:tc>
          <w:tcPr>
            <w:tcW w:w="6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</w:tr>
      <w:tr w:rsidR="00E3721B" w:rsidRPr="005D4694" w:rsidTr="00AD6179"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90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</w:tbl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  <w:sectPr w:rsidR="00E3721B" w:rsidRPr="005D4694" w:rsidSect="00AD6179">
          <w:pgSz w:w="16838" w:h="11905" w:orient="landscape"/>
          <w:pgMar w:top="1418" w:right="567" w:bottom="567" w:left="1134" w:header="0" w:footer="0" w:gutter="0"/>
          <w:cols w:space="720"/>
          <w:noEndnote/>
        </w:sect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4.6. Расчетные показатели минимально допустимого уровня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обеспеченности и расчетные показатели максимально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допустимого уровня территориальной доступности</w:t>
      </w:r>
      <w:r w:rsidR="006D03F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объектов местного значения в иных областях,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связанных с решением вопросов местного значения</w:t>
      </w:r>
    </w:p>
    <w:p w:rsidR="00E3721B" w:rsidRPr="005D4694" w:rsidRDefault="00E3721B" w:rsidP="006D03F3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304"/>
        <w:gridCol w:w="2948"/>
        <w:gridCol w:w="2041"/>
        <w:gridCol w:w="3572"/>
        <w:gridCol w:w="794"/>
        <w:gridCol w:w="567"/>
        <w:gridCol w:w="497"/>
        <w:gridCol w:w="750"/>
        <w:gridCol w:w="567"/>
      </w:tblGrid>
      <w:tr w:rsidR="00E3721B" w:rsidRPr="005D4694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N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/п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вида объекта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Тип расчетного показателя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Вид расчетного показателя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Наименование расчетного показателя, ед. измерения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Значение расчетного показателя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Территории рекреационного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Суммарная площадь озелененных территорий общего пользования, кв. м на 1 человека </w:t>
            </w:r>
            <w:hyperlink w:anchor="Par1543" w:history="1">
              <w:r w:rsidRPr="005D469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&lt;*&gt;</w:t>
              </w:r>
            </w:hyperlink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средних городов и поселений - 13;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малых городов и поселений - 8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Размеры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скверы - 0,5;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озелененные территории - менее 0,5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Ширина бульвара,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Ширина бульвара с одной продольной пешеходной аллеей по оси улиц - 18;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 одной стороны улицы между проезжей частью и застройкой - 10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доступность, мин.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садов, скверов и бульваров - не более 10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мин.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ландшафтных парков, лесопарков - не более 20 на транспорте (без учета времени ожидания транспорта)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bookmarkStart w:id="6" w:name="Par1543"/>
            <w:bookmarkEnd w:id="6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&lt;*&gt; Примечание: в сельских населенных пунктах, расположенных в окружении лесов, в прибрежных зонах рек и водоемов площадь озелененных территорий общего пользования допускается уменьшать, но не более чем на 20%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Места погребения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на 1 тыс. чел.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Кладбища смешанного и традиционного захоронения - 0,24.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Особо охраняемые природные территории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Объекты культурного наследия местного значения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Объекты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производственного назначения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Коэффициент застройки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промышленной зоны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Коэффициент плотности застройки промышленной зоны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2,4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Объекты пищевой промышленности и сельского хозяйства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Минимальная плотность застройки земельных участков, %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производству молока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доращиванию и откорму крупного рогатого скота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AD6179" w:rsidRPr="005D4694">
        <w:trPr>
          <w:gridAfter w:val="5"/>
          <w:wAfter w:w="3175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5D4694">
        <w:trPr>
          <w:gridAfter w:val="5"/>
          <w:wAfter w:w="3175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D6179" w:rsidRPr="005D4694">
        <w:trPr>
          <w:gridAfter w:val="5"/>
          <w:wAfter w:w="3175" w:type="dxa"/>
          <w:trHeight w:val="322"/>
        </w:trPr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179" w:rsidRPr="005D4694" w:rsidRDefault="00AD617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Объекты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туризма и рекреации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допустимого уровня интенсивности использования территории для размещения данного вида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Уровень обеспеченности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гостиницами, мест на 1000 чел.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Автомобильным транспортом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 w:rsidP="00AD6179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жилищного строительства на территории поселения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Жилой квартал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обеспеченность, кв. м/чел.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Средняя жилищная обеспеченность для многоквартирных жилых домов, кв. м площади жилых помещений на человека в зависимости от уровня комфортности жилья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высококомфортное</w:t>
            </w:r>
            <w:proofErr w:type="spell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40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комфортное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30 до 40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массовое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24 до 30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максимальной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Плотность населения в границах квартала, чел./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тип застройки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населения, чел./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блокированная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малоэтажная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застройка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250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среднеэтажная застройка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многоэтажная застройка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420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1. Показатель приведен с учетом средней расчетной жилищной обеспеченности 24 кв. м/чел. в многоквартирной жилой застройке.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В условиях реконструкции плотность застройки может увеличиваться не более чем на 10% при наличии соответствующего обоснования.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3. Размеры земельных участков индивидуальной жилой застройки, приквартирных земельных участков рекомендуется принимать с учетом особенностей градостроительной ситуации территорий, характера сложившейся и формируемой жилой застройки (среды), условий ее размещения в структурном элементе жилой зоны.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4. Отводимый под строительство жилого здания земельный участок должен обеспечивать возможность организации придомовой территории с четким функциональным зонированием и размещением площадок отдыха, игровых, спортивных, хозяйственных площадок, стоянок автотранспорта, зеленых насаждений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общего пользования различного функционального назначени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показатель минимально допустимой площади территории в границах земельного участка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Удельный размер площадок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общего пользования различного назначения, 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машино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-место/квартира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Для квартир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площадью менее 40 кв. м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0,5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Для квартир площадью более 40 кв. м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обеспеченность местами для хранения автомобилей принимается в границах земельного участка для жилых домов не менее 50% от расчетного количества. Остальные парковочные места допускается размещать в других местах с пешеходной доступностью не более 150 м с учетом фактической и планируемой обеспеченности местами для хранения автомобилей всех объектов микрорайона (квартала). В случае проектирования и строительства жилых домов со встроенными, встроенно-пристроенными, подземными автостоянками не менее 15% от расчетных 50%, размещаемых в границах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земельного участка автостоянок, предусматриваются открытыми на придомовой территории. Гостевые автостоянки жилых домов не должны превышать 20% от количества открытых автостоянок, предусмотренных на придомовой территории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Удельный размер площадок общего пользования различного назначения, кв. м/чел.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озеленение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0,7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0,06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расстояния от окон жилых и общественных зданий до площадок общего пользования различного назначения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Назначение площадки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расстояние не менее,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выгула собак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игр детей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площадки для отдыха взрослого населения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физкультурно-спортивные площадки и сооружения (в зависимости от шумовых характеристик)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10 - 40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хозяйственные площадки (контейнерные)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Примечания: </w:t>
            </w:r>
          </w:p>
          <w:p w:rsidR="00E3721B" w:rsidRPr="005D4694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>. Допускается уменьшать удельный размер площадки для игр детей до 0,4 кв. м/чел. на застроенных территориях, подлежащих развитию.</w:t>
            </w:r>
          </w:p>
          <w:p w:rsidR="00E3721B" w:rsidRPr="005D4694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>. При расчете обеспеченности площадками дворового благоустройства необходимо учитывать демографический состав населения.</w:t>
            </w:r>
          </w:p>
          <w:p w:rsidR="00E3721B" w:rsidRPr="005D4694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>. Организация общей для одного или нескольких микрорайонов оборудованной площадки для выгула собак производится на территории общего пользования в радиусе до 500 м.</w:t>
            </w:r>
          </w:p>
          <w:p w:rsidR="00E3721B" w:rsidRPr="005D4694" w:rsidRDefault="00A24C6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gramStart"/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Расстояния от наземных и наземно-подземных гаражей, открытых стоянок, предназначенных для постоянного и временного хранения легковых автомобилей, и станций технического обслуживания до жилых домов и общественных зданий, а также до участков школ, детских яслей-садов и лечебных учреждений стационарного типа, размещаемых на селитебных территориях, следует принимать не менее приведенных в </w:t>
            </w:r>
            <w:hyperlink r:id="rId15" w:history="1">
              <w:r w:rsidR="00E3721B" w:rsidRPr="005D4694">
                <w:rPr>
                  <w:rFonts w:ascii="Times New Roman" w:hAnsi="Times New Roman" w:cs="Times New Roman"/>
                  <w:color w:val="0000FF"/>
                  <w:sz w:val="26"/>
                  <w:szCs w:val="26"/>
                </w:rPr>
                <w:t>таблице 10</w:t>
              </w:r>
            </w:hyperlink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"СП 42.13330.2011.</w:t>
            </w:r>
            <w:proofErr w:type="gramEnd"/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Свод правил. Градостроительство. Планировка и застройка городских и сельских поселений. Актуализированная редакция СНиП 2.07.01-89*", </w:t>
            </w:r>
            <w:proofErr w:type="gramStart"/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>утвержденных</w:t>
            </w:r>
            <w:proofErr w:type="gramEnd"/>
            <w:r w:rsidR="00E3721B"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приказом Минрегиона Российской Федерации от 28.12.2010 N 820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Зона индивидуальной жилой застройки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плотности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Расчетная плотность населения жилой зоны, чел./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 для индивидуальной застройки, кв. м:</w:t>
            </w:r>
          </w:p>
        </w:tc>
        <w:tc>
          <w:tcPr>
            <w:tcW w:w="23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Плотность населения, чел./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, при среднем размере семьи, чел.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3,5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1500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</w:t>
            </w:r>
          </w:p>
        </w:tc>
        <w:tc>
          <w:tcPr>
            <w:tcW w:w="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58</w:t>
            </w:r>
          </w:p>
        </w:tc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67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Примечание: хозяйственные площадки в зонах индивидуальной жилой застройки предусматриваются на придомовых участках (кроме площадок для мусоросборников, размещаемых на территориях общего пользования из расчета 1 контейнер на 10 - 15 домов)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фармацевтики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Аптеки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мощности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 объект на 6,2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рекомендуется размещать в составе помещений общественных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малоэтажная жилая застройка - 800 м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- 30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Примечание: нормативы минимально допустимого уровня обеспеченности аптечными организациями определены суммарно с учетом объектов, находящихся в ведении Новосибирской области, муниципальных районов, городских округов, сельских поселений, а также объектов иного значения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культуры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Помещения для культурно-досуговой деятельности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площади пола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50 на 1 тыс. населения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Размер земельного участка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Кинотеатры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обеспеченности количеством 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1 - на муниципальный район;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заданию на проектирование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Транспортная доступность, минут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муниципальный район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1. Целесообразно размещать на территории </w:t>
            </w:r>
            <w:r w:rsidR="00A24C6C" w:rsidRPr="005D4694">
              <w:rPr>
                <w:rFonts w:ascii="Times New Roman" w:hAnsi="Times New Roman" w:cs="Times New Roman"/>
                <w:sz w:val="26"/>
                <w:szCs w:val="26"/>
              </w:rPr>
              <w:t>поселения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универсальный объект культурно-досугового назначения, который при необходимости мог исполнять функции различных видов объектов (кинотеатр, выставочный зал, учреждение культуры клубного типа и др.).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Необходимое количество зрительских мест для кинотеатров устанавливается из расчета 2 места на 1 тыс. человек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области физической культуры и спорта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Помещения для физкультурных занятий и тренировок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кв. м общей площади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70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Размер земельного участка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составе помещений спортивных комплексов, а также в специально приспособленном помещении жилого или общественного здания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Примечание: общая площадь территории, занимаемой объектами физической культуры и массового спорта, не менее 7000 кв. м/1 тыс. чел.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торговли, общественного питания и бытового обслуживания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Предприятия торговли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(магазины, торговые центры, торговые комплексы)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Расчетные показатели минимально допустимого уровня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Расчетный показатель минимально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кв. м площади торговых объектов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региональным нормативно-правовым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актом, регламентирующим нормативы минимальной обеспеченности площадью торговых объектов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торговые центры местного значения с обслуживаемым населением, тыс. чел.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4 до 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6 до 10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0,6 - 0,8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торговые центры поселений с числом жителей, тыс. чел.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1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1 до 3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0,2 - 0,4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3 до 4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0,4 - 0,6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5 до 6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0,6 - 1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Примечание: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- 80 кв. м площади торговых объектов на 1 тыс. человек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Предприятия общественного питания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место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- 23 места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/100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мощность, мест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/100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мест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0,2 - 0,25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 50 до 150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0,15 - 0,2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Предприятия бытового обслуживания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рабочее место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рабочих мест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мощность, рабочих мест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/10 рабочих мест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10 - 50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0,1 - 0,2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допустимого доступности показатель максимально уровня территориальной</w:t>
            </w:r>
            <w:proofErr w:type="gramEnd"/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- 2000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Примечания: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1. Предприятия бытового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обслуживания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возможно размещать во встроенно-пристроенных помещениях.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2. Для сезонного населения садоводческих, огороднических объединений, дачных хозяйств и жилого фонда с временным проживанием в сельских населенных пунктах - 1,6 рабочего места на 1 тыс. человек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Прачечные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белья в смену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60 на 1 тыс. человек, в том числе 20 - прачечные самообслуживания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допустимой площади территории для размещения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Химчистки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кг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вещей в смену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3,5 на 1 тыс. человек, в том числе 1,2 - химчистки самообслуживания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Примечание: химчистки рекомендуется размещать в производственно-коммунальной зоне,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жилой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и общественной зонах рекомендуется организовывать пункты сбора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Бани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мощности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обеспеченности, место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- 7 на 1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не нормируется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кредитно-финансового обслуживания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Отделения банков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операционная касса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2 операционных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кассах</w:t>
            </w:r>
            <w:proofErr w:type="gramEnd"/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7 операционных кассах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максимально допустимого уровня территориальной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Транспортная доступность, минут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пределах транспортной доступности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22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Отделения и филиалы сберегательного банка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операционное место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пункты: 1 операционное место на 1 - 2 тыс. человек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3 операционных местах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20 операционных местах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0,4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почтовой связи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Отделения почтовой связи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минимально допустимого уровня мощности объекта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Уровень обеспеченности, 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 нормам и правилам Министерства связи Российской Федерации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допустимой площади территории для размещения объекта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Размер земельного участка,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/объект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микрорайона, жилого района,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, для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обслуживаемого населения, групп: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IV - V (до 9 тыс. чел.)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0,07 - 0,08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III - IV (9 - 18 тыс. чел.)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0,09 - 0,1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II - III (20 - 25 тыс. чел.)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0,11 - 0,12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Отделения связи сельского поселения,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га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, для обслуживаемого населения, групп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V - VI (0,5 - 2 тыс. чел.)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0,3 - 0,35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III - IV (2 - 6 тыс. чел.)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0,4 - 0,45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допустимого уровня территориальной доступности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сельские населенные пункты - в пределах населенного пункта</w:t>
            </w:r>
          </w:p>
        </w:tc>
      </w:tr>
      <w:tr w:rsidR="00E3721B" w:rsidRPr="005D4694">
        <w:tc>
          <w:tcPr>
            <w:tcW w:w="1355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 области транспортного обслуживания</w:t>
            </w:r>
          </w:p>
        </w:tc>
      </w:tr>
      <w:tr w:rsidR="00E3721B" w:rsidRPr="005D4694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Сооружения и устройства для хранения и обслужив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ания транспортных средств</w:t>
            </w:r>
          </w:p>
        </w:tc>
        <w:tc>
          <w:tcPr>
            <w:tcW w:w="2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Расчетные показатели минимально допустимого уровня обеспеченности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Расчетный показатель минимально допустимого уровня обеспеченности количеством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объектов</w:t>
            </w:r>
          </w:p>
        </w:tc>
        <w:tc>
          <w:tcPr>
            <w:tcW w:w="3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Уровень обеспеченности гаражами и открытыми стоянками для постоянного хранения легковых автомобилей, %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90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Уровень обеспеченности стоянками для временного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хранения легковых автомобилей, %</w:t>
            </w: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менее чем для 70% расчетного парка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индивидуальных легковых автомобилей, в том числе: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жилые районы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промышленные и коммунально-складские зоны (районы)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зоны массового кратковременного отдыха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</w:tr>
      <w:tr w:rsidR="00E3721B" w:rsidRPr="005D4694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1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Расчетный показатель максимально допустимого уровня территориальной доступности</w:t>
            </w: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Пешеходная доступность гаражей и стоянок для постоянного хранения автомобилей, </w:t>
            </w: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proofErr w:type="gramEnd"/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при новом строительстве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800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Пешеходная доступность стоянок временного хранения легковых автомобилей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входов в жилые дома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100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пассажирских помещений вокзалов,</w:t>
            </w:r>
          </w:p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входов в места крупных учреждений торговли и общественного </w:t>
            </w: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питания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150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прочих учреждений и предприятий обслуживания населения и административных зданий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250</w:t>
            </w:r>
          </w:p>
        </w:tc>
      </w:tr>
      <w:tr w:rsidR="00E3721B" w:rsidRPr="005D4694">
        <w:tc>
          <w:tcPr>
            <w:tcW w:w="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3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98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до входов в парки, на выставки и стадионы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1B" w:rsidRPr="005D4694" w:rsidRDefault="00E3721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400</w:t>
            </w:r>
          </w:p>
        </w:tc>
      </w:tr>
    </w:tbl>
    <w:p w:rsidR="002C5433" w:rsidRPr="005D4694" w:rsidRDefault="002C5433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  <w:sectPr w:rsidR="002C5433" w:rsidRPr="005D4694" w:rsidSect="00A06A53">
          <w:pgSz w:w="16838" w:h="11905" w:orient="landscape"/>
          <w:pgMar w:top="851" w:right="567" w:bottom="426" w:left="1134" w:header="0" w:footer="0" w:gutter="0"/>
          <w:cols w:space="720"/>
          <w:noEndnote/>
        </w:sectPr>
      </w:pP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lastRenderedPageBreak/>
        <w:t>III. Правила и область применения расчетных показателей,</w:t>
      </w: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Расчетные   показатели  минимально  допустимого  уровня  обеспеченности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объектами  местного значения и расчетные показатели максимально допустимого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уровня   территориальной   доступности   таких   объектов   для   населения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Pr="005D4694">
        <w:rPr>
          <w:rFonts w:ascii="Times New Roman" w:hAnsi="Times New Roman" w:cs="Times New Roman"/>
          <w:sz w:val="26"/>
          <w:szCs w:val="26"/>
        </w:rPr>
        <w:t>, установленные   в   местных  нормативах  градостроительного  проектирования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0A2E20" w:rsidRPr="005D4694">
        <w:rPr>
          <w:rFonts w:ascii="Times New Roman" w:hAnsi="Times New Roman" w:cs="Times New Roman"/>
          <w:sz w:val="26"/>
          <w:szCs w:val="26"/>
        </w:rPr>
        <w:t>,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 </w:t>
      </w:r>
      <w:r w:rsidRPr="005D4694">
        <w:rPr>
          <w:rFonts w:ascii="Times New Roman" w:hAnsi="Times New Roman" w:cs="Times New Roman"/>
          <w:sz w:val="26"/>
          <w:szCs w:val="26"/>
        </w:rPr>
        <w:t>применяются при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подготовке  и  внесении  изменений  в  схему  территориального планирования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3B48FA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0A2E20" w:rsidRPr="005D4694">
        <w:rPr>
          <w:rFonts w:ascii="Times New Roman" w:hAnsi="Times New Roman" w:cs="Times New Roman"/>
          <w:sz w:val="26"/>
          <w:szCs w:val="26"/>
        </w:rPr>
        <w:t>района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,  </w:t>
      </w:r>
      <w:r w:rsidRPr="005D4694">
        <w:rPr>
          <w:rFonts w:ascii="Times New Roman" w:hAnsi="Times New Roman" w:cs="Times New Roman"/>
          <w:sz w:val="26"/>
          <w:szCs w:val="26"/>
        </w:rPr>
        <w:t>генеральн</w:t>
      </w:r>
      <w:r w:rsidR="000A2E20" w:rsidRPr="005D4694">
        <w:rPr>
          <w:rFonts w:ascii="Times New Roman" w:hAnsi="Times New Roman" w:cs="Times New Roman"/>
          <w:sz w:val="26"/>
          <w:szCs w:val="26"/>
        </w:rPr>
        <w:t>ого  плана</w:t>
      </w:r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Pr="005D4694">
        <w:rPr>
          <w:rFonts w:ascii="Times New Roman" w:hAnsi="Times New Roman" w:cs="Times New Roman"/>
          <w:sz w:val="26"/>
          <w:szCs w:val="26"/>
        </w:rPr>
        <w:t xml:space="preserve"> (ГП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0A2E20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Pr="005D4694">
        <w:rPr>
          <w:rFonts w:ascii="Times New Roman" w:hAnsi="Times New Roman" w:cs="Times New Roman"/>
          <w:sz w:val="26"/>
          <w:szCs w:val="26"/>
        </w:rPr>
        <w:t>)</w:t>
      </w:r>
      <w:r w:rsidR="002C5433" w:rsidRPr="005D4694">
        <w:rPr>
          <w:rFonts w:ascii="Times New Roman" w:hAnsi="Times New Roman" w:cs="Times New Roman"/>
          <w:sz w:val="26"/>
          <w:szCs w:val="26"/>
        </w:rPr>
        <w:t>,</w:t>
      </w:r>
      <w:r w:rsidRPr="005D4694">
        <w:rPr>
          <w:rFonts w:ascii="Times New Roman" w:hAnsi="Times New Roman" w:cs="Times New Roman"/>
          <w:sz w:val="26"/>
          <w:szCs w:val="26"/>
        </w:rPr>
        <w:t xml:space="preserve"> документацию  по  планировке  территории (ДППТ), правила землепользования и</w:t>
      </w:r>
      <w:r w:rsidR="000A2E20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застройки </w:t>
      </w:r>
      <w:r w:rsidR="000A2E20" w:rsidRPr="005D4694">
        <w:rPr>
          <w:rFonts w:ascii="Times New Roman" w:hAnsi="Times New Roman" w:cs="Times New Roman"/>
          <w:sz w:val="26"/>
          <w:szCs w:val="26"/>
        </w:rPr>
        <w:t>сельсовета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(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ПЗЗ).</w:t>
      </w:r>
      <w:proofErr w:type="gramEnd"/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 xml:space="preserve">Утвержденные МНГП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сельсовета </w:t>
      </w:r>
      <w:r w:rsidR="003B48FA">
        <w:rPr>
          <w:rFonts w:ascii="Times New Roman" w:hAnsi="Times New Roman" w:cs="Times New Roman"/>
          <w:sz w:val="26"/>
          <w:szCs w:val="26"/>
        </w:rPr>
        <w:t>Северного района Новосибирской области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подлежат применению: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органами государственной власти Новосибирской области при осуществлении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ими   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контроля    за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   соблюдением   органами   местного   самоуправления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законодательства о градостроительной деятельности;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органами местного самоуправления при осуществлении постоянного контроля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соответствия  проектных решений градостроительной документации изменяющимся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социально-экономическим  условиям  на  территории  при  принятии  решений 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развитии    застроенных    территорий    соответствующего    муниципального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образования;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разработчиками      градостроительной     документации,     заказчиками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градостроительной  документации и иными заинтересованными лицами при оценке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качества  градостроительной  документации  в  плане соответствия ее решений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целям повышения качества жизни населения.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Расчетные   показатели  минимально  допустимого  уровня  обеспеченности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объектами   местного  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значения   населения   муниципального   образования,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установленные МНГП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2C5433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3B48F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 </w:t>
      </w:r>
      <w:r w:rsidRPr="005D4694">
        <w:rPr>
          <w:rFonts w:ascii="Times New Roman" w:hAnsi="Times New Roman" w:cs="Times New Roman"/>
          <w:sz w:val="26"/>
          <w:szCs w:val="26"/>
        </w:rPr>
        <w:t>не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могут</w:t>
      </w:r>
      <w:proofErr w:type="gramEnd"/>
      <w:r w:rsidRPr="005D4694">
        <w:rPr>
          <w:rFonts w:ascii="Times New Roman" w:hAnsi="Times New Roman" w:cs="Times New Roman"/>
          <w:sz w:val="26"/>
          <w:szCs w:val="26"/>
        </w:rPr>
        <w:t xml:space="preserve">  быть  ниже  предельных  значений  расчетных  показателей  минимально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допустимого  уровня  обеспеченности  объектами  местного значения населения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муниципальных   образований   Новосибирской   области,  установленных  РНГП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Новосибирской области.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В  случае внесения изменений в РНГП Новосибирской области, в результате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которых  предельные  значения  расчетных показателей минимально допустимого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уровня  обеспеченности  объектами местного значения населения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муниципальных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образований   Новосибирской   области  станут  выше  расчетных  показателей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минимально  допустимого  уровня  обеспеченности объектами местного значения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населения      муниципального      образования,      установленных     МНГП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3B48FA">
        <w:rPr>
          <w:rFonts w:ascii="Times New Roman" w:hAnsi="Times New Roman" w:cs="Times New Roman"/>
          <w:sz w:val="26"/>
          <w:szCs w:val="26"/>
        </w:rPr>
        <w:t xml:space="preserve">Северного </w:t>
      </w:r>
      <w:r w:rsidR="002C5433" w:rsidRPr="005D4694">
        <w:rPr>
          <w:rFonts w:ascii="Times New Roman" w:hAnsi="Times New Roman" w:cs="Times New Roman"/>
          <w:sz w:val="26"/>
          <w:szCs w:val="26"/>
        </w:rPr>
        <w:t>района</w:t>
      </w:r>
      <w:r w:rsidRPr="005D4694">
        <w:rPr>
          <w:rFonts w:ascii="Times New Roman" w:hAnsi="Times New Roman" w:cs="Times New Roman"/>
          <w:sz w:val="26"/>
          <w:szCs w:val="26"/>
        </w:rPr>
        <w:t>, применению подлежат расчетные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показатели  РНГП  Новосибирской  области  с  учетом требований федерального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законодательства.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Расчетные  показатели  максимально  допустимого  уровня территориальной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доступности   объектов   местного  значения  для  населения  муниципального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образования, установленные МНГП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9B1EA7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3B48F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Pr="005D4694">
        <w:rPr>
          <w:rFonts w:ascii="Times New Roman" w:hAnsi="Times New Roman" w:cs="Times New Roman"/>
          <w:sz w:val="26"/>
          <w:szCs w:val="26"/>
        </w:rPr>
        <w:t>, не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могут  превышать  предельные  значения  расчетных  показателей  максимально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допустимого  уровня  территориальной доступности объектов местного значения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для    населения    муниципальных    образований   Новосибирской   области,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установленных РНГП Новосибирской области.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    В  случае внесения изменений в РНГП Новосибирской области, в результате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которых  предельные  значения расчетных показателей максимально допустимого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уровня территориальной доступности объектов местного значения для населения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муниципальных  образований  Новосибирской  области  станут  ниже  расчетных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показателей  максимально  допустимого  уровня  территориальной  доступности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объектов   местного  значения  для  населения  муниципального  образования,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 xml:space="preserve">установленных МНГП </w:t>
      </w:r>
      <w:proofErr w:type="spellStart"/>
      <w:r w:rsidR="003B48FA">
        <w:rPr>
          <w:rFonts w:ascii="Times New Roman" w:hAnsi="Times New Roman" w:cs="Times New Roman"/>
          <w:sz w:val="26"/>
          <w:szCs w:val="26"/>
        </w:rPr>
        <w:t>Бергульского</w:t>
      </w:r>
      <w:proofErr w:type="spellEnd"/>
      <w:r w:rsidR="003B48FA">
        <w:rPr>
          <w:rFonts w:ascii="Times New Roman" w:hAnsi="Times New Roman" w:cs="Times New Roman"/>
          <w:sz w:val="26"/>
          <w:szCs w:val="26"/>
        </w:rPr>
        <w:t xml:space="preserve"> </w:t>
      </w:r>
      <w:r w:rsidR="00CD35CC" w:rsidRPr="005D4694">
        <w:rPr>
          <w:rFonts w:ascii="Times New Roman" w:hAnsi="Times New Roman" w:cs="Times New Roman"/>
          <w:sz w:val="26"/>
          <w:szCs w:val="26"/>
        </w:rPr>
        <w:t>сельсовета</w:t>
      </w:r>
      <w:r w:rsidR="003B48FA">
        <w:rPr>
          <w:rFonts w:ascii="Times New Roman" w:hAnsi="Times New Roman" w:cs="Times New Roman"/>
          <w:sz w:val="26"/>
          <w:szCs w:val="26"/>
        </w:rPr>
        <w:t xml:space="preserve"> Северного района Новосибирской области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, </w:t>
      </w:r>
      <w:r w:rsidRPr="005D4694">
        <w:rPr>
          <w:rFonts w:ascii="Times New Roman" w:hAnsi="Times New Roman" w:cs="Times New Roman"/>
          <w:sz w:val="26"/>
          <w:szCs w:val="26"/>
        </w:rPr>
        <w:t>применению  подлежат  расчетные  показатели  РНГП  Новосибирской  области с</w:t>
      </w:r>
      <w:r w:rsidR="002C5433"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Pr="005D4694">
        <w:rPr>
          <w:rFonts w:ascii="Times New Roman" w:hAnsi="Times New Roman" w:cs="Times New Roman"/>
          <w:sz w:val="26"/>
          <w:szCs w:val="26"/>
        </w:rPr>
        <w:t>учетом требований федерального законодательства.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IV. Материалы по обоснованию расчетных показателей,</w:t>
      </w: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содержащихся в основной части местных нормативов</w:t>
      </w:r>
    </w:p>
    <w:p w:rsidR="00E3721B" w:rsidRPr="005D4694" w:rsidRDefault="00E3721B" w:rsidP="002C543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4694">
        <w:rPr>
          <w:rFonts w:ascii="Times New Roman" w:hAnsi="Times New Roman" w:cs="Times New Roman"/>
          <w:b/>
          <w:sz w:val="26"/>
          <w:szCs w:val="26"/>
        </w:rPr>
        <w:t>градостроительного проектирования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    Перечень  нормативных  правовых актов и иных документов, использованных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при   подготовке   местных   нормативов  градостроительного  проектирования</w:t>
      </w:r>
    </w:p>
    <w:p w:rsidR="00E3721B" w:rsidRPr="005D4694" w:rsidRDefault="00A06A53" w:rsidP="00E3721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сельсовета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 xml:space="preserve"> </w:t>
      </w:r>
      <w:r w:rsidR="00E3721B" w:rsidRPr="005D4694">
        <w:rPr>
          <w:rFonts w:ascii="Times New Roman" w:hAnsi="Times New Roman" w:cs="Times New Roman"/>
          <w:sz w:val="26"/>
          <w:szCs w:val="26"/>
        </w:rPr>
        <w:t>.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Федеральные законы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Водный </w:t>
      </w:r>
      <w:hyperlink r:id="rId16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Градостроительный </w:t>
      </w:r>
      <w:hyperlink r:id="rId17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Земельный </w:t>
      </w:r>
      <w:hyperlink r:id="rId18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Лесной </w:t>
      </w:r>
      <w:hyperlink r:id="rId19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кодекс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Российской Федерации;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0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1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06.10.1999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2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12.02.1998 N 28-ФЗ "О гражданской обороне";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3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04.05.1999 N 96-ФЗ "Об охране атмосферного воздуха";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4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25.06.2002 N 73-ФЗ "Об объектах культурного наследия (памятниках истории и культуры) народов Российской Федерации";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2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Российской Федерации от 21.02.1992 N 2395-1 "О недрах";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6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26.03.2003 N 35-ФЗ "Об электроэнергетике";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7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31.03.1999 N 69-ФЗ "О газоснабжении в Российской Федерации";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8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07.07.2003 N 126-ФЗ "О связи";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29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27.07.2010 N 190-ФЗ "О теплоснабжении";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0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07.12.2011 N 416-ФЗ "О водоснабжении и водоотведении";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1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28.12.2013 N 442-ФЗ "Об основах социального обслуживания граждан в Российской Федерации";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2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19.05.1995 N 81-ФЗ "О государственных пособиях гражданам, имеющим детей";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3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22.07.2008 N 123-ФЗ "Технический регламент о требованиях пожарной безопасности";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4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22.08.1995 N 151-ФЗ "Об аварийно-спасательных службах и статусе спасателей";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5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29.12.2012 N 273-ФЗ "Об образовании в Российской Федерации";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 xml:space="preserve">Федеральный </w:t>
      </w:r>
      <w:hyperlink r:id="rId36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24.06.1998 N 89-ФЗ "Об отходах производства и потребления";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Федеральный </w:t>
      </w:r>
      <w:hyperlink r:id="rId37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от 30.03.1999 N 52-ФЗ "О санитарно-эпидемиологическом благополучии населения".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CD35CC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Н</w:t>
      </w:r>
      <w:r w:rsidR="00E3721B" w:rsidRPr="005D4694">
        <w:rPr>
          <w:rFonts w:ascii="Times New Roman" w:hAnsi="Times New Roman" w:cs="Times New Roman"/>
          <w:sz w:val="26"/>
          <w:szCs w:val="26"/>
        </w:rPr>
        <w:t>ормативные акты Российской Федерации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03.07.1996 N 1063-р (О Социальных нормативах и нормах);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3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распоряжение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25.05.2004 N 707-р (Об утверждении перечней субъектов Российской Федерации и отдельных районов субъектов Российской Федерации (в существующих границах), относящихся к территориям с низкой либо с высокой плотностью населения);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29.10.2009 N 860 "О требованиях к обеспеченности автомобильных дорог общего пользования объектами дорожного сервиса, размещаемыми в границах полос отвода";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1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02.09.2009 N 717 "О нормах отвода земель для размещения автомобильных дорог и (или) объектов дорожного сервиса";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2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Правительства Российской Федерации от 15.04.2014 N 296 "Об утверждении государственной программы Российской Федерации "Социальная поддержка граждан";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Министерства труда и социальной защиты Российской Федерации от 17.04.2014 N 258н "Об утверждении примерной номенклатуры организаций социального обслуживания";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Министерства здравоохранения и социального развития Российской Федерации от 15.05.2012 N 543н "Об утверждении Положения об организации оказания первичной медико-санитарной помощи взрослому населению";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Министерства образования и науки Российской Федерации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Ветеринарно-санитарные </w:t>
      </w:r>
      <w:hyperlink r:id="rId46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правила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сбора, утилизации и уничтожения биологических отходов;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приказ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Министерства транспорта Российской Федерации от 06.08.2008 N 126 "Об утверждении Норм отвода земельных участков, необходимых для формирования полосы отвода железных дорог, а также норм расчета охранных зон железных дорог".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Нормативные правовые акты Новосибирской области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</w:t>
      </w:r>
      <w:r w:rsidR="009473A8">
        <w:rPr>
          <w:rFonts w:ascii="Times New Roman" w:hAnsi="Times New Roman" w:cs="Times New Roman"/>
          <w:sz w:val="26"/>
          <w:szCs w:val="26"/>
        </w:rPr>
        <w:t>05</w:t>
      </w:r>
      <w:r w:rsidR="00E3721B" w:rsidRPr="005D4694">
        <w:rPr>
          <w:rFonts w:ascii="Times New Roman" w:hAnsi="Times New Roman" w:cs="Times New Roman"/>
          <w:sz w:val="26"/>
          <w:szCs w:val="26"/>
        </w:rPr>
        <w:t>.</w:t>
      </w:r>
      <w:r w:rsidR="009473A8">
        <w:rPr>
          <w:rFonts w:ascii="Times New Roman" w:hAnsi="Times New Roman" w:cs="Times New Roman"/>
          <w:sz w:val="26"/>
          <w:szCs w:val="26"/>
        </w:rPr>
        <w:t>12</w:t>
      </w:r>
      <w:r w:rsidR="00E3721B" w:rsidRPr="005D4694">
        <w:rPr>
          <w:rFonts w:ascii="Times New Roman" w:hAnsi="Times New Roman" w:cs="Times New Roman"/>
          <w:sz w:val="26"/>
          <w:szCs w:val="26"/>
        </w:rPr>
        <w:t>.20</w:t>
      </w:r>
      <w:r w:rsidR="009473A8">
        <w:rPr>
          <w:rFonts w:ascii="Times New Roman" w:hAnsi="Times New Roman" w:cs="Times New Roman"/>
          <w:sz w:val="26"/>
          <w:szCs w:val="26"/>
        </w:rPr>
        <w:t>16</w:t>
      </w:r>
      <w:r w:rsidR="00E3721B" w:rsidRPr="005D4694">
        <w:rPr>
          <w:rFonts w:ascii="Times New Roman" w:hAnsi="Times New Roman" w:cs="Times New Roman"/>
          <w:sz w:val="26"/>
          <w:szCs w:val="26"/>
        </w:rPr>
        <w:t xml:space="preserve"> N 1</w:t>
      </w:r>
      <w:r w:rsidR="009473A8">
        <w:rPr>
          <w:rFonts w:ascii="Times New Roman" w:hAnsi="Times New Roman" w:cs="Times New Roman"/>
          <w:sz w:val="26"/>
          <w:szCs w:val="26"/>
        </w:rPr>
        <w:t>12</w:t>
      </w:r>
      <w:r w:rsidR="00E3721B" w:rsidRPr="005D4694">
        <w:rPr>
          <w:rFonts w:ascii="Times New Roman" w:hAnsi="Times New Roman" w:cs="Times New Roman"/>
          <w:sz w:val="26"/>
          <w:szCs w:val="26"/>
        </w:rPr>
        <w:t xml:space="preserve">-ОЗ "Об </w:t>
      </w:r>
      <w:r w:rsidR="009473A8">
        <w:rPr>
          <w:rFonts w:ascii="Times New Roman" w:hAnsi="Times New Roman" w:cs="Times New Roman"/>
          <w:sz w:val="26"/>
          <w:szCs w:val="26"/>
        </w:rPr>
        <w:t>отдельных вопросах регулирования земельных отношений на территории Новосибирской области</w:t>
      </w:r>
      <w:r w:rsidR="00E3721B" w:rsidRPr="005D4694">
        <w:rPr>
          <w:rFonts w:ascii="Times New Roman" w:hAnsi="Times New Roman" w:cs="Times New Roman"/>
          <w:sz w:val="26"/>
          <w:szCs w:val="26"/>
        </w:rPr>
        <w:t>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4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30.12.2003 N 162-ОЗ "Об обороте земель сельскохозяйственного назначения на территории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02.06.2004 N 200-ОЗ "О статусе и границах муниципальных образований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1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26.09.2005 N 325-ОЗ "Об особо охраняемых природных территориях в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2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16.03.2006 N 4-ОЗ "Об административно-территориальном устройстве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25.12.2006 N 79-ОЗ "Об объектах культурного наследия (памятниках истории и культуры) народов Российской Федерации, расположенных на территории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06.04.2007 N 102-ОЗ "О некоторых вопросах организации розничных рынков на территории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Закон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Новосибирской области от 27.04.2010 N 481-ОЗ "О регулировании градостроительной деятельности в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6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администрации Новосибирской области от 07.09.2009 N 339-па "Об утверждении Схемы территориального планирования Новосибирской области";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постановление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Губернатора Новосибирской области от 03.12.2007 N 474 "О Стратегии социально-экономического развития Новосибирской области на период до 2025 года".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Своды правил по проектированию и строительству (СП)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42.13330.2011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Градостроительство. Планировка и застройка городских и сельских поселений. Актуализированная редакция СНиП 2.07.01-89*;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5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145.13330.2012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Дома-интернаты. Правила проектирования;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35-106-2003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Расчет и размещение учреждений социального обслуживания пожилых людей;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1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31.13330.2012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Водоснабжение. Наружные сети и сооружения. Актуализированная редакция СНиП 2.04.02-84*;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2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32.13330.2012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Канализация. Наружные сети и сооружения. Актуализированная редакция СНиП 2.04.03-85;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62.13330.2011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Газораспределительные системы. Актуализированная редакция СНиП 42-01-2002;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50.13330.2012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Тепловая защита зданий. Актуализированная редакция СНиП 23-02-2003;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113.13330.2012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Стоянки автомобилей. Актуализированная редакция СНиП 21-02-99*;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6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34.13330.2012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Автомобильные дороги. Актуализированная редакция СНиП 2.05.02-85*;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39.13330.2012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Плотины из грунтовых материалов. Актуализированная редакция СНиП 2.06.05-84*;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131.13330.2012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Строительная климатология. Актуализированная редакция СНиП 23-01-99*;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6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31-115-2006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Открытые плоскостные физкультурно-спортивные сооружения;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31-113-2004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Бассейны для плавания;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СП 31-112-2004. Физкультурно-спортивные залы. </w:t>
      </w:r>
      <w:hyperlink r:id="rId71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Части 1</w:t>
        </w:r>
      </w:hyperlink>
      <w:r w:rsidRPr="005D4694">
        <w:rPr>
          <w:rFonts w:ascii="Times New Roman" w:hAnsi="Times New Roman" w:cs="Times New Roman"/>
          <w:sz w:val="26"/>
          <w:szCs w:val="26"/>
        </w:rPr>
        <w:t xml:space="preserve"> и </w:t>
      </w:r>
      <w:hyperlink r:id="rId72" w:history="1">
        <w:r w:rsidRPr="005D4694">
          <w:rPr>
            <w:rFonts w:ascii="Times New Roman" w:hAnsi="Times New Roman" w:cs="Times New Roman"/>
            <w:color w:val="0000FF"/>
            <w:sz w:val="26"/>
            <w:szCs w:val="26"/>
          </w:rPr>
          <w:t>2</w:t>
        </w:r>
      </w:hyperlink>
      <w:r w:rsidRPr="005D4694">
        <w:rPr>
          <w:rFonts w:ascii="Times New Roman" w:hAnsi="Times New Roman" w:cs="Times New Roman"/>
          <w:sz w:val="26"/>
          <w:szCs w:val="26"/>
        </w:rPr>
        <w:t>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59.13330.2012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Доступность зданий и сооружений для маломобильных групп населения. Актуализированная редакция СНиП 35-01-2001;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35-101-2001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Проектирование зданий и сооружений с учетом доступности для маломобильных групп населения. Общие положения;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35-102-2001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Жилая среда с планировочными элементами, доступными инвалидам;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6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31-102-99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Требования доступности общественных зданий и сооружений для инвалидов и других маломобильных посетителей;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35-103-2001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Общественные здания и сооружения, доступные маломобильным посетителям;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54.13330.2011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Свод правил. Здания жилые многоквартирные. Актуализированная редакция СНиП 31-01-2003.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Строительные нормы и правила (СНиП)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7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СНиП 2.07.01-89*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Градостроительство. Планировка и застройка городских и сельских поселений;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Рекомендации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по проектированию улиц и дорог городов и сельских поселений (составлены к главе СНиП 2.07.01-89*);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1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СНиП 2.05.02-85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Автомобильные дороги;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2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СНиП 2.01.51-90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Инженерно-технические мероприятия гражданской обороны;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СНиП 2.06.15-85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Инженерная защита территории от затопления и подтопления;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СНиП 2.01.28-85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Полигоны по обезвреживанию и захоронению токсичных промышленных отходов. Основные положения по проектированию.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Санитарно-эпидемиологические правила и нормативы (СанПиН)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2.4.1.3049-13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устройству, содержанию и организации режима работы дошкольных образовательных организаций";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6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2.4.2.2821-10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условиям и организации обучения в общеобразовательных учреждениях";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2.1.3.2630-10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"Санитарно-эпидемиологические требования к организациям, осуществляющим медицинскую деятельность";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2.2.1/2.1.1.1200-03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"Санитарно-защитные зоны и санитарная классификация предприятий, сооружений и иных объектов";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8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2.1.6.1032-01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обеспечению качества атмосферного воздуха населенных мест";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0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2.1.8/2.2.4.1383-03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передающих радиотехнических объектов";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1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СанПиН 2.1.8/2.2.4.1190-03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размещению и эксплуатации средств сухопутной подвижной радиосвязи";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2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СП 2.1.7.1038-01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устройству и содержанию полигонов для твердых бытовых отходов".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Государственные стандарты (ГОСТ)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3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ГОСТ </w:t>
        </w:r>
        <w:proofErr w:type="gramStart"/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</w:t>
        </w:r>
        <w:proofErr w:type="gramEnd"/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52498-2005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Социальное обслуживание населения. Классификация учреждений социального обслуживания;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4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ГОСТ 30772-2001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Межгосударственный стандарт. Ресурсосбережение. Обращение с отходами. Термины и определения;</w:t>
      </w: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5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 xml:space="preserve">ГОСТ </w:t>
        </w:r>
        <w:proofErr w:type="gramStart"/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</w:t>
        </w:r>
        <w:proofErr w:type="gramEnd"/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 xml:space="preserve"> 55528-2013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Национальный стандарт Российской Федерации. Состав и содержание научно-проектной документации по сохранению объектов культурного наследия. Памятники истории и культуры. Общие требования.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Нормы пожарной безопасности (НПБ)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6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НПБ 101-95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Нормы проектирования объектов пожарной охраны.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9473A8" w:rsidRDefault="009473A8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9473A8" w:rsidRDefault="009473A8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>Санитарные нормы (СН)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7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СН 2.2.4/2.1.8.562-96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 xml:space="preserve"> "Шум на рабочих местах, в помещениях жилых, общественных зданий и на территории жилой застройки. Санитарные нормы".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Ведомственные строительные нормы (ВСН)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8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ВСН 56-78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Инструкция по проектированию станций и узлов на железных дорогах Союза ССР.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 xml:space="preserve">Руководящие документы системы </w:t>
      </w:r>
      <w:proofErr w:type="gramStart"/>
      <w:r w:rsidRPr="005D4694">
        <w:rPr>
          <w:rFonts w:ascii="Times New Roman" w:hAnsi="Times New Roman" w:cs="Times New Roman"/>
          <w:sz w:val="26"/>
          <w:szCs w:val="26"/>
        </w:rPr>
        <w:t>нормативных</w:t>
      </w:r>
      <w:proofErr w:type="gramEnd"/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документов в строительстве (РДС)</w:t>
      </w: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F51688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hyperlink r:id="rId99" w:history="1">
        <w:r w:rsidR="00E3721B" w:rsidRPr="005D4694">
          <w:rPr>
            <w:rFonts w:ascii="Times New Roman" w:hAnsi="Times New Roman" w:cs="Times New Roman"/>
            <w:color w:val="0000FF"/>
            <w:sz w:val="26"/>
            <w:szCs w:val="26"/>
          </w:rPr>
          <w:t>РДС 35-201-99</w:t>
        </w:r>
      </w:hyperlink>
      <w:r w:rsidR="00E3721B" w:rsidRPr="005D4694">
        <w:rPr>
          <w:rFonts w:ascii="Times New Roman" w:hAnsi="Times New Roman" w:cs="Times New Roman"/>
          <w:sz w:val="26"/>
          <w:szCs w:val="26"/>
        </w:rPr>
        <w:t>. Порядок реализации требований доступности для инвалидов к объектам социальной инфраструктуры.</w:t>
      </w:r>
    </w:p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06A53" w:rsidRPr="005D4694" w:rsidRDefault="00A06A53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  <w:sectPr w:rsidR="00A06A53" w:rsidRPr="005D4694" w:rsidSect="00A06A53">
          <w:pgSz w:w="11905" w:h="16838"/>
          <w:pgMar w:top="1134" w:right="1418" w:bottom="567" w:left="567" w:header="0" w:footer="0" w:gutter="0"/>
          <w:cols w:space="720"/>
          <w:noEndnote/>
        </w:sectPr>
      </w:pPr>
    </w:p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lastRenderedPageBreak/>
        <w:t>Таблица N 2. Классификация улиц и дорог</w:t>
      </w:r>
    </w:p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4694">
        <w:rPr>
          <w:rFonts w:ascii="Times New Roman" w:hAnsi="Times New Roman" w:cs="Times New Roman"/>
          <w:sz w:val="26"/>
          <w:szCs w:val="26"/>
        </w:rPr>
        <w:t>сельских поселений. Основное назначение</w:t>
      </w:r>
    </w:p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1757"/>
        <w:gridCol w:w="12334"/>
      </w:tblGrid>
      <w:tr w:rsidR="00616BF9" w:rsidRPr="005D4694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Категория сельских улиц и дорог сельских поселений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Основное назначение</w:t>
            </w:r>
          </w:p>
        </w:tc>
      </w:tr>
      <w:tr w:rsidR="00616BF9" w:rsidRPr="005D4694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Поселковая дорога (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ДПос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Связь сельского поселения с внешними дорогами общей сети</w:t>
            </w:r>
          </w:p>
        </w:tc>
      </w:tr>
      <w:tr w:rsidR="00616BF9" w:rsidRPr="005D4694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Главная улица (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УГл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Связь жилых территорий с общественным центром</w:t>
            </w:r>
          </w:p>
        </w:tc>
      </w:tr>
      <w:tr w:rsidR="00616BF9" w:rsidRPr="005D4694" w:rsidTr="006D03F3">
        <w:tc>
          <w:tcPr>
            <w:tcW w:w="1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Улица в жилой застройке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Основная (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УЖо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Связь внутри жилых территорий и с главной улицей по направлениям с интенсивным движением</w:t>
            </w:r>
          </w:p>
        </w:tc>
      </w:tr>
      <w:tr w:rsidR="00616BF9" w:rsidRPr="005D4694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Второстепенная</w:t>
            </w:r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 xml:space="preserve"> (переулок) (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УЖв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Связь между основными жилыми улицами</w:t>
            </w:r>
          </w:p>
        </w:tc>
      </w:tr>
      <w:tr w:rsidR="00616BF9" w:rsidRPr="005D4694" w:rsidTr="006D03F3">
        <w:tc>
          <w:tcPr>
            <w:tcW w:w="1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Проезд (</w:t>
            </w:r>
            <w:proofErr w:type="spellStart"/>
            <w:proofErr w:type="gram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</w:t>
            </w:r>
            <w:proofErr w:type="spellEnd"/>
            <w:proofErr w:type="gram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Связь жилых домов, расположенных в глубине квартала, с улицей</w:t>
            </w:r>
          </w:p>
        </w:tc>
      </w:tr>
      <w:tr w:rsidR="00616BF9" w:rsidRPr="005D4694" w:rsidTr="006D03F3">
        <w:tc>
          <w:tcPr>
            <w:tcW w:w="28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Хозяйственный проезд, скотопрогон (</w:t>
            </w:r>
            <w:proofErr w:type="spellStart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Прх</w:t>
            </w:r>
            <w:proofErr w:type="spellEnd"/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  <w:tc>
          <w:tcPr>
            <w:tcW w:w="1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BF9" w:rsidRPr="005D4694" w:rsidRDefault="00616BF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D4694">
              <w:rPr>
                <w:rFonts w:ascii="Times New Roman" w:hAnsi="Times New Roman" w:cs="Times New Roman"/>
                <w:sz w:val="26"/>
                <w:szCs w:val="26"/>
              </w:rPr>
              <w:t>Прогон личного скота и проезд грузового транспорта к приусадебным участкам</w:t>
            </w:r>
          </w:p>
        </w:tc>
      </w:tr>
    </w:tbl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616BF9" w:rsidRPr="005D4694" w:rsidRDefault="00616BF9" w:rsidP="00616BF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E3721B" w:rsidRPr="005D4694" w:rsidRDefault="00E3721B" w:rsidP="00E3721B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320FDE" w:rsidRPr="005D4694" w:rsidRDefault="00320FDE">
      <w:pPr>
        <w:rPr>
          <w:rFonts w:ascii="Times New Roman" w:hAnsi="Times New Roman" w:cs="Times New Roman"/>
          <w:sz w:val="26"/>
          <w:szCs w:val="26"/>
        </w:rPr>
      </w:pPr>
    </w:p>
    <w:sectPr w:rsidR="00320FDE" w:rsidRPr="005D4694" w:rsidSect="00A06A53">
      <w:pgSz w:w="16838" w:h="11905" w:orient="landscape"/>
      <w:pgMar w:top="567" w:right="1134" w:bottom="1418" w:left="567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3721B"/>
    <w:rsid w:val="000A2E20"/>
    <w:rsid w:val="000C78FF"/>
    <w:rsid w:val="0012057E"/>
    <w:rsid w:val="00167772"/>
    <w:rsid w:val="001B018B"/>
    <w:rsid w:val="001E3F2E"/>
    <w:rsid w:val="00233691"/>
    <w:rsid w:val="002C5433"/>
    <w:rsid w:val="00320FDE"/>
    <w:rsid w:val="0032213C"/>
    <w:rsid w:val="00335423"/>
    <w:rsid w:val="003657AF"/>
    <w:rsid w:val="003B48FA"/>
    <w:rsid w:val="00465743"/>
    <w:rsid w:val="005B1C6D"/>
    <w:rsid w:val="005D4694"/>
    <w:rsid w:val="00616BF9"/>
    <w:rsid w:val="006D03F3"/>
    <w:rsid w:val="00713232"/>
    <w:rsid w:val="007464DE"/>
    <w:rsid w:val="00756834"/>
    <w:rsid w:val="007F6E77"/>
    <w:rsid w:val="008866FD"/>
    <w:rsid w:val="0092279D"/>
    <w:rsid w:val="009473A8"/>
    <w:rsid w:val="009B1EA7"/>
    <w:rsid w:val="00A06A53"/>
    <w:rsid w:val="00A24C6C"/>
    <w:rsid w:val="00A41460"/>
    <w:rsid w:val="00A651E8"/>
    <w:rsid w:val="00A85F05"/>
    <w:rsid w:val="00AB5316"/>
    <w:rsid w:val="00AD6179"/>
    <w:rsid w:val="00B272F0"/>
    <w:rsid w:val="00B82B54"/>
    <w:rsid w:val="00BE779C"/>
    <w:rsid w:val="00C0522E"/>
    <w:rsid w:val="00C3746C"/>
    <w:rsid w:val="00CD35CC"/>
    <w:rsid w:val="00D57E44"/>
    <w:rsid w:val="00DB5133"/>
    <w:rsid w:val="00E3721B"/>
    <w:rsid w:val="00EF6485"/>
    <w:rsid w:val="00F51688"/>
    <w:rsid w:val="00FD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862BF38074F586FCD8A546FB316941F17ABBA4777087CA9F94C2F768FFVBN1F" TargetMode="External"/><Relationship Id="rId21" Type="http://schemas.openxmlformats.org/officeDocument/2006/relationships/hyperlink" Target="consultantplus://offline/ref=862BF38074F586FCD8A546FB316941F179B2A37A728CCA9F94C2F768FFVBN1F" TargetMode="External"/><Relationship Id="rId34" Type="http://schemas.openxmlformats.org/officeDocument/2006/relationships/hyperlink" Target="consultantplus://offline/ref=862BF38074F586FCD8A546FB316941F17AB6AB74748ACA9F94C2F768FFVBN1F" TargetMode="External"/><Relationship Id="rId42" Type="http://schemas.openxmlformats.org/officeDocument/2006/relationships/hyperlink" Target="consultantplus://offline/ref=862BF38074F586FCD8A546FB316941F17AB4A173778FCA9F94C2F768FFVBN1F" TargetMode="External"/><Relationship Id="rId47" Type="http://schemas.openxmlformats.org/officeDocument/2006/relationships/hyperlink" Target="consultantplus://offline/ref=862BF38074F586FCD8A546FB316941F17CBBAB73798597959C9BFB6AVFN8F" TargetMode="External"/><Relationship Id="rId50" Type="http://schemas.openxmlformats.org/officeDocument/2006/relationships/hyperlink" Target="consultantplus://offline/ref=862BF38074F586FCD8A558F627051FF872B9FD7F788EC2C8CD9DAC35A8B844B8V2N3F" TargetMode="External"/><Relationship Id="rId55" Type="http://schemas.openxmlformats.org/officeDocument/2006/relationships/hyperlink" Target="consultantplus://offline/ref=862BF38074F586FCD8A558F627051FF872B9FD7F7887C2CFC09DAC35A8B844B8V2N3F" TargetMode="External"/><Relationship Id="rId63" Type="http://schemas.openxmlformats.org/officeDocument/2006/relationships/hyperlink" Target="consultantplus://offline/ref=862BF38074F586FCD8A559EE346941F17AB4A571718597959C9BFB6AVFN8F" TargetMode="External"/><Relationship Id="rId68" Type="http://schemas.openxmlformats.org/officeDocument/2006/relationships/hyperlink" Target="consultantplus://offline/ref=862BF38074F586FCD8A559EE346941F17AB4A074768597959C9BFB6AVFN8F" TargetMode="External"/><Relationship Id="rId76" Type="http://schemas.openxmlformats.org/officeDocument/2006/relationships/hyperlink" Target="consultantplus://offline/ref=862BF38074F586FCD8A559EE346941F17FBBA27926D295C4C995VFNEF" TargetMode="External"/><Relationship Id="rId84" Type="http://schemas.openxmlformats.org/officeDocument/2006/relationships/hyperlink" Target="consultantplus://offline/ref=862BF38074F586FCD8A559EE346941F17FBBAB767BD89D9DC597F9V6NDF" TargetMode="External"/><Relationship Id="rId89" Type="http://schemas.openxmlformats.org/officeDocument/2006/relationships/hyperlink" Target="consultantplus://offline/ref=862BF38074F586FCD8A546FB316941F178B3A473758597959C9BFB6AF8BE11F8632CF9EB1D6BE3V6N9F" TargetMode="External"/><Relationship Id="rId97" Type="http://schemas.openxmlformats.org/officeDocument/2006/relationships/hyperlink" Target="consultantplus://offline/ref=862BF38074F586FCD8A546FB316941F17AB2A07A708BCA9F94C2F768FFVBN1F" TargetMode="External"/><Relationship Id="rId7" Type="http://schemas.openxmlformats.org/officeDocument/2006/relationships/hyperlink" Target="consultantplus://offline/ref=862BF38074F586FCD8A546FB316941F179B2A37B7888CA9F94C2F768FFVBN1F" TargetMode="External"/><Relationship Id="rId71" Type="http://schemas.openxmlformats.org/officeDocument/2006/relationships/hyperlink" Target="consultantplus://offline/ref=862BF38074F586FCD8A559EE346941F17EB1A27B7BD89D9DC597F9V6NDF" TargetMode="External"/><Relationship Id="rId92" Type="http://schemas.openxmlformats.org/officeDocument/2006/relationships/hyperlink" Target="consultantplus://offline/ref=862BF38074F586FCD8A546FB316941F178B0A574728597959C9BFB6AF8BE11F8632CF9EB1D6BE3V6NEF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62BF38074F586FCD8A546FB316941F17ABAA0727886CA9F94C2F768FFVBN1F" TargetMode="External"/><Relationship Id="rId29" Type="http://schemas.openxmlformats.org/officeDocument/2006/relationships/hyperlink" Target="consultantplus://offline/ref=862BF38074F586FCD8A546FB316941F17ABBA477718ECA9F94C2F768FFVBN1F" TargetMode="External"/><Relationship Id="rId11" Type="http://schemas.openxmlformats.org/officeDocument/2006/relationships/hyperlink" Target="consultantplus://offline/ref=862BF38074F586FCD8A546FB316941F179B2A37B7888CA9F94C2F768FFB14EEF6465F5EA1D6AEA6EV6N8F" TargetMode="External"/><Relationship Id="rId24" Type="http://schemas.openxmlformats.org/officeDocument/2006/relationships/hyperlink" Target="consultantplus://offline/ref=862BF38074F586FCD8A546FB316941F17ABBA5717487CA9F94C2F768FFVBN1F" TargetMode="External"/><Relationship Id="rId32" Type="http://schemas.openxmlformats.org/officeDocument/2006/relationships/hyperlink" Target="consultantplus://offline/ref=862BF38074F586FCD8A546FB316941F179B2A37B738BCA9F94C2F768FFVBN1F" TargetMode="External"/><Relationship Id="rId37" Type="http://schemas.openxmlformats.org/officeDocument/2006/relationships/hyperlink" Target="consultantplus://offline/ref=862BF38074F586FCD8A546FB316941F179B2A2737788CA9F94C2F768FFVBN1F" TargetMode="External"/><Relationship Id="rId40" Type="http://schemas.openxmlformats.org/officeDocument/2006/relationships/hyperlink" Target="consultantplus://offline/ref=862BF38074F586FCD8A546FB316941F17ABBA4767988CA9F94C2F768FFVBN1F" TargetMode="External"/><Relationship Id="rId45" Type="http://schemas.openxmlformats.org/officeDocument/2006/relationships/hyperlink" Target="consultantplus://offline/ref=862BF38074F586FCD8A546FB316941F17AB7A1747989CA9F94C2F768FFVBN1F" TargetMode="External"/><Relationship Id="rId53" Type="http://schemas.openxmlformats.org/officeDocument/2006/relationships/hyperlink" Target="consultantplus://offline/ref=862BF38074F586FCD8A558F627051FF872B9FD7F788FC6CCC89DAC35A8B844B8V2N3F" TargetMode="External"/><Relationship Id="rId58" Type="http://schemas.openxmlformats.org/officeDocument/2006/relationships/hyperlink" Target="consultantplus://offline/ref=862BF38074F586FCD8A559EE346941F17AB1AB75798597959C9BFB6AVFN8F" TargetMode="External"/><Relationship Id="rId66" Type="http://schemas.openxmlformats.org/officeDocument/2006/relationships/hyperlink" Target="consultantplus://offline/ref=862BF38074F586FCD8A559EE346941F17AB4A075788597959C9BFB6AVFN8F" TargetMode="External"/><Relationship Id="rId74" Type="http://schemas.openxmlformats.org/officeDocument/2006/relationships/hyperlink" Target="consultantplus://offline/ref=862BF38074F586FCD8A559EE346941F17AB7AA767BD89D9DC597F9V6NDF" TargetMode="External"/><Relationship Id="rId79" Type="http://schemas.openxmlformats.org/officeDocument/2006/relationships/hyperlink" Target="consultantplus://offline/ref=862BF38074F586FCD8A559EE346941F179B5A2717BD89D9DC597F9V6NDF" TargetMode="External"/><Relationship Id="rId87" Type="http://schemas.openxmlformats.org/officeDocument/2006/relationships/hyperlink" Target="consultantplus://offline/ref=862BF38074F586FCD8A546FB316941F179B2A373788BCA9F94C2F768FFB14EEF6465F5EA1D6BE26CV6NAF" TargetMode="External"/><Relationship Id="rId5" Type="http://schemas.openxmlformats.org/officeDocument/2006/relationships/hyperlink" Target="consultantplus://offline/ref=862BF38074F586FCD8A546FB316941F179B2A37B7888CA9F94C2F768FFB14EEF6465F5EA1D6AE465V6N9F" TargetMode="External"/><Relationship Id="rId61" Type="http://schemas.openxmlformats.org/officeDocument/2006/relationships/hyperlink" Target="consultantplus://offline/ref=862BF38074F586FCD8A559EE346941F17ABBA475788597959C9BFB6AVFN8F" TargetMode="External"/><Relationship Id="rId82" Type="http://schemas.openxmlformats.org/officeDocument/2006/relationships/hyperlink" Target="consultantplus://offline/ref=862BF38074F586FCD8A559EE346941F17AB0A574788597959C9BFB6AVFN8F" TargetMode="External"/><Relationship Id="rId90" Type="http://schemas.openxmlformats.org/officeDocument/2006/relationships/hyperlink" Target="consultantplus://offline/ref=862BF38074F586FCD8A546FB316941F17CB6A770758597959C9BFB6AF8BE11F8632CF9EB1D6BE3V6N9F" TargetMode="External"/><Relationship Id="rId95" Type="http://schemas.openxmlformats.org/officeDocument/2006/relationships/hyperlink" Target="consultantplus://offline/ref=862BF38074F586FCD8A559EE346941F17AB5A67A778597959C9BFB6AVFN8F" TargetMode="External"/><Relationship Id="rId19" Type="http://schemas.openxmlformats.org/officeDocument/2006/relationships/hyperlink" Target="consultantplus://offline/ref=862BF38074F586FCD8A546FB316941F17ABBA4747288CA9F94C2F768FFVBN1F" TargetMode="External"/><Relationship Id="rId14" Type="http://schemas.openxmlformats.org/officeDocument/2006/relationships/hyperlink" Target="consultantplus://offline/ref=862BF38074F586FCD8A546FB316941F179B2A37B7888CA9F94C2F768FFB14EEF6465F5EA1D6AE465V6N9F" TargetMode="External"/><Relationship Id="rId22" Type="http://schemas.openxmlformats.org/officeDocument/2006/relationships/hyperlink" Target="consultantplus://offline/ref=862BF38074F586FCD8A546FB316941F17ABBA2757689CA9F94C2F768FFVBN1F" TargetMode="External"/><Relationship Id="rId27" Type="http://schemas.openxmlformats.org/officeDocument/2006/relationships/hyperlink" Target="consultantplus://offline/ref=862BF38074F586FCD8A546FB316941F179B2A37A748CCA9F94C2F768FFVBN1F" TargetMode="External"/><Relationship Id="rId30" Type="http://schemas.openxmlformats.org/officeDocument/2006/relationships/hyperlink" Target="consultantplus://offline/ref=862BF38074F586FCD8A546FB316941F17ABBA276748ECA9F94C2F768FFVBN1F" TargetMode="External"/><Relationship Id="rId35" Type="http://schemas.openxmlformats.org/officeDocument/2006/relationships/hyperlink" Target="consultantplus://offline/ref=862BF38074F586FCD8A546FB316941F179B2A2717387CA9F94C2F768FFVBN1F" TargetMode="External"/><Relationship Id="rId43" Type="http://schemas.openxmlformats.org/officeDocument/2006/relationships/hyperlink" Target="consultantplus://offline/ref=862BF38074F586FCD8A546FB316941F17AB4A077738CCA9F94C2F768FFVBN1F" TargetMode="External"/><Relationship Id="rId48" Type="http://schemas.openxmlformats.org/officeDocument/2006/relationships/hyperlink" Target="consultantplus://offline/ref=862BF38074F586FCD8A558F627051FF872B9FD7F788FC6CCC99DAC35A8B844B8V2N3F" TargetMode="External"/><Relationship Id="rId56" Type="http://schemas.openxmlformats.org/officeDocument/2006/relationships/hyperlink" Target="consultantplus://offline/ref=862BF38074F586FCD8A558F627051FF872B9FD7F7388C6CEC19DAC35A8B844B8V2N3F" TargetMode="External"/><Relationship Id="rId64" Type="http://schemas.openxmlformats.org/officeDocument/2006/relationships/hyperlink" Target="consultantplus://offline/ref=862BF38074F586FCD8A559EE346941F17AB4A175758597959C9BFB6AVFN8F" TargetMode="External"/><Relationship Id="rId69" Type="http://schemas.openxmlformats.org/officeDocument/2006/relationships/hyperlink" Target="consultantplus://offline/ref=862BF38074F586FCD8A559EE346941F173B3A3747BD89D9DC597F9V6NDF" TargetMode="External"/><Relationship Id="rId77" Type="http://schemas.openxmlformats.org/officeDocument/2006/relationships/hyperlink" Target="consultantplus://offline/ref=862BF38074F586FCD8A559EE346941F17AB4A2737BD89D9DC597F9V6NDF" TargetMode="External"/><Relationship Id="rId100" Type="http://schemas.openxmlformats.org/officeDocument/2006/relationships/fontTable" Target="fontTable.xml"/><Relationship Id="rId8" Type="http://schemas.openxmlformats.org/officeDocument/2006/relationships/hyperlink" Target="consultantplus://offline/ref=862BF38074F586FCD8A546FB316941F179B2A373718ACA9F94C2F768FFVBN1F" TargetMode="External"/><Relationship Id="rId51" Type="http://schemas.openxmlformats.org/officeDocument/2006/relationships/hyperlink" Target="consultantplus://offline/ref=862BF38074F586FCD8A558F627051FF872B9FD7F778CC2CBC09DAC35A8B844B8V2N3F" TargetMode="External"/><Relationship Id="rId72" Type="http://schemas.openxmlformats.org/officeDocument/2006/relationships/hyperlink" Target="consultantplus://offline/ref=862BF38074F586FCD8A559EE346941F17EB1A1727BD89D9DC597F9V6NDF" TargetMode="External"/><Relationship Id="rId80" Type="http://schemas.openxmlformats.org/officeDocument/2006/relationships/hyperlink" Target="consultantplus://offline/ref=862BF38074F586FCD8A559EE346941F17AB4A270748597959C9BFB6AVFN8F" TargetMode="External"/><Relationship Id="rId85" Type="http://schemas.openxmlformats.org/officeDocument/2006/relationships/hyperlink" Target="consultantplus://offline/ref=862BF38074F586FCD8A546FB316941F17ABAA6757489CA9F94C2F768FFB14EEF6465F5EA1D6BE26CV6NAF" TargetMode="External"/><Relationship Id="rId93" Type="http://schemas.openxmlformats.org/officeDocument/2006/relationships/hyperlink" Target="consultantplus://offline/ref=862BF38074F586FCD8A545EE286941F173BAA7757BD89D9DC597F9V6NDF" TargetMode="External"/><Relationship Id="rId98" Type="http://schemas.openxmlformats.org/officeDocument/2006/relationships/hyperlink" Target="consultantplus://offline/ref=862BF38074F586FCD8A559EE346941F17AB6A47B768597959C9BFB6AVFN8F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862BF38074F586FCD8A546FB316941F179B2A37B7888CA9F94C2F768FFB14EEF6465F5EA1D6AE465V6N9F" TargetMode="External"/><Relationship Id="rId17" Type="http://schemas.openxmlformats.org/officeDocument/2006/relationships/hyperlink" Target="consultantplus://offline/ref=862BF38074F586FCD8A546FB316941F179B2A37B7888CA9F94C2F768FFB14EEF6465F5EA1D6AEA68V6N8F" TargetMode="External"/><Relationship Id="rId25" Type="http://schemas.openxmlformats.org/officeDocument/2006/relationships/hyperlink" Target="consultantplus://offline/ref=862BF38074F586FCD8A546FB316941F179B2A276708CCA9F94C2F768FFVBN1F" TargetMode="External"/><Relationship Id="rId33" Type="http://schemas.openxmlformats.org/officeDocument/2006/relationships/hyperlink" Target="consultantplus://offline/ref=862BF38074F586FCD8A546FB316941F179B2A37A728ECA9F94C2F768FFVBN1F" TargetMode="External"/><Relationship Id="rId38" Type="http://schemas.openxmlformats.org/officeDocument/2006/relationships/hyperlink" Target="consultantplus://offline/ref=862BF38074F586FCD8A546FB316941F17AB4A77B7786CA9F94C2F768FFVBN1F" TargetMode="External"/><Relationship Id="rId46" Type="http://schemas.openxmlformats.org/officeDocument/2006/relationships/hyperlink" Target="consultantplus://offline/ref=862BF38074F586FCD8A546FB316941F17CB3A376718597959C9BFB6AVFN8F" TargetMode="External"/><Relationship Id="rId59" Type="http://schemas.openxmlformats.org/officeDocument/2006/relationships/hyperlink" Target="consultantplus://offline/ref=862BF38074F586FCD8A559EE346941F17AB5A271778597959C9BFB6AVFN8F" TargetMode="External"/><Relationship Id="rId67" Type="http://schemas.openxmlformats.org/officeDocument/2006/relationships/hyperlink" Target="consultantplus://offline/ref=862BF38074F586FCD8A559EE346941F17AB7AA7A798597959C9BFB6AVFN8F" TargetMode="External"/><Relationship Id="rId20" Type="http://schemas.openxmlformats.org/officeDocument/2006/relationships/hyperlink" Target="consultantplus://offline/ref=862BF38074F586FCD8A546FB316941F179B2A37A728ACA9F94C2F768FFB14EEF6465F5ED1CV6NDF" TargetMode="External"/><Relationship Id="rId41" Type="http://schemas.openxmlformats.org/officeDocument/2006/relationships/hyperlink" Target="consultantplus://offline/ref=862BF38074F586FCD8A546FB316941F17AB3A2747087CA9F94C2F768FFVBN1F" TargetMode="External"/><Relationship Id="rId54" Type="http://schemas.openxmlformats.org/officeDocument/2006/relationships/hyperlink" Target="consultantplus://offline/ref=862BF38074F586FCD8A558F627051FF872B9FD7F758DC2CCC99DAC35A8B844B8V2N3F" TargetMode="External"/><Relationship Id="rId62" Type="http://schemas.openxmlformats.org/officeDocument/2006/relationships/hyperlink" Target="consultantplus://offline/ref=862BF38074F586FCD8A559EE346941F17ABBA472708597959C9BFB6AVFN8F" TargetMode="External"/><Relationship Id="rId70" Type="http://schemas.openxmlformats.org/officeDocument/2006/relationships/hyperlink" Target="consultantplus://offline/ref=862BF38074F586FCD8A559EE346941F17EB7A5727BD89D9DC597F9V6NDF" TargetMode="External"/><Relationship Id="rId75" Type="http://schemas.openxmlformats.org/officeDocument/2006/relationships/hyperlink" Target="consultantplus://offline/ref=862BF38074F586FCD8A559EE346941F17FB1AB7926D295C4C995VFNEF" TargetMode="External"/><Relationship Id="rId83" Type="http://schemas.openxmlformats.org/officeDocument/2006/relationships/hyperlink" Target="consultantplus://offline/ref=862BF38074F586FCD8A559EE346941F17DB5AB7926D295C4C995VFNEF" TargetMode="External"/><Relationship Id="rId88" Type="http://schemas.openxmlformats.org/officeDocument/2006/relationships/hyperlink" Target="consultantplus://offline/ref=862BF38074F586FCD8A546FB316941F17AB4A077748DCA9F94C2F768FFB14EEF6465F5EA1D6BE26CV6NBF" TargetMode="External"/><Relationship Id="rId91" Type="http://schemas.openxmlformats.org/officeDocument/2006/relationships/hyperlink" Target="consultantplus://offline/ref=862BF38074F586FCD8A546FB316941F17FB3A674738597959C9BFB6AF8BE11F8632CF9EB1D6BE3V6N8F" TargetMode="External"/><Relationship Id="rId96" Type="http://schemas.openxmlformats.org/officeDocument/2006/relationships/hyperlink" Target="consultantplus://offline/ref=862BF38074F586FCD8A54FE2366941F178B0A37A788CCA9F94C2F768FFVBN1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62BF38074F586FCD8A546FB316941F179B2A37B7888CA9F94C2F768FFB14EEF6465F5EA1D6AE465V6N9F" TargetMode="External"/><Relationship Id="rId15" Type="http://schemas.openxmlformats.org/officeDocument/2006/relationships/hyperlink" Target="consultantplus://offline/ref=862BF38074F586FCD8A559EE346941F17AB1AB75798597959C9BFB6AF8BE11F8632CF9EB1D6DE4V6N8F" TargetMode="External"/><Relationship Id="rId23" Type="http://schemas.openxmlformats.org/officeDocument/2006/relationships/hyperlink" Target="consultantplus://offline/ref=862BF38074F586FCD8A546FB316941F17ABAA0727287CA9F94C2F768FFVBN1F" TargetMode="External"/><Relationship Id="rId28" Type="http://schemas.openxmlformats.org/officeDocument/2006/relationships/hyperlink" Target="consultantplus://offline/ref=862BF38074F586FCD8A546FB316941F179B2A277768ACA9F94C2F768FFVBN1F" TargetMode="External"/><Relationship Id="rId36" Type="http://schemas.openxmlformats.org/officeDocument/2006/relationships/hyperlink" Target="consultantplus://offline/ref=862BF38074F586FCD8A546FB316941F179B2A3747087CA9F94C2F768FFVBN1F" TargetMode="External"/><Relationship Id="rId49" Type="http://schemas.openxmlformats.org/officeDocument/2006/relationships/hyperlink" Target="consultantplus://offline/ref=862BF38074F586FCD8A558F627051FF872B9FD7F7788C4C8CC9DAC35A8B844B8V2N3F" TargetMode="External"/><Relationship Id="rId57" Type="http://schemas.openxmlformats.org/officeDocument/2006/relationships/hyperlink" Target="consultantplus://offline/ref=862BF38074F586FCD8A558F627051FF872B9FD7F738CC9C9CD9DAC35A8B844B8V2N3F" TargetMode="External"/><Relationship Id="rId10" Type="http://schemas.openxmlformats.org/officeDocument/2006/relationships/hyperlink" Target="consultantplus://offline/ref=862BF38074F586FCD8A546FB316941F179B2A37B7888CA9F94C2F768FFB14EEF6465F5EA1D6AEA6EV6N9F" TargetMode="External"/><Relationship Id="rId31" Type="http://schemas.openxmlformats.org/officeDocument/2006/relationships/hyperlink" Target="consultantplus://offline/ref=862BF38074F586FCD8A546FB316941F17AB4A572748ACA9F94C2F768FFVBN1F" TargetMode="External"/><Relationship Id="rId44" Type="http://schemas.openxmlformats.org/officeDocument/2006/relationships/hyperlink" Target="consultantplus://offline/ref=862BF38074F586FCD8A546FB316941F17ABAAA747989CA9F94C2F768FFVBN1F" TargetMode="External"/><Relationship Id="rId52" Type="http://schemas.openxmlformats.org/officeDocument/2006/relationships/hyperlink" Target="consultantplus://offline/ref=862BF38074F586FCD8A558F627051FF872B9FD7F7587C9CBCB9DAC35A8B844B8V2N3F" TargetMode="External"/><Relationship Id="rId60" Type="http://schemas.openxmlformats.org/officeDocument/2006/relationships/hyperlink" Target="consultantplus://offline/ref=862BF38074F586FCD8A559EE346941F17EB7AB707BD89D9DC597F9V6NDF" TargetMode="External"/><Relationship Id="rId65" Type="http://schemas.openxmlformats.org/officeDocument/2006/relationships/hyperlink" Target="consultantplus://offline/ref=862BF38074F586FCD8A559EE346941F17ABBA375768597959C9BFB6AVFN8F" TargetMode="External"/><Relationship Id="rId73" Type="http://schemas.openxmlformats.org/officeDocument/2006/relationships/hyperlink" Target="consultantplus://offline/ref=862BF38074F586FCD8A559EE346941F17ABBA776768597959C9BFB6AVFN8F" TargetMode="External"/><Relationship Id="rId78" Type="http://schemas.openxmlformats.org/officeDocument/2006/relationships/hyperlink" Target="consultantplus://offline/ref=862BF38074F586FCD8A559EE346941F17AB1A57B758597959C9BFB6AVFN8F" TargetMode="External"/><Relationship Id="rId81" Type="http://schemas.openxmlformats.org/officeDocument/2006/relationships/hyperlink" Target="consultantplus://offline/ref=862BF38074F586FCD8A559EE346941F17AB4A075788597959C9BFB6AVFN8F" TargetMode="External"/><Relationship Id="rId86" Type="http://schemas.openxmlformats.org/officeDocument/2006/relationships/hyperlink" Target="consultantplus://offline/ref=862BF38074F586FCD8A546FB316941F17ABBA2727289CA9F94C2F768FFB14EEF6465F5EA1D6BE26CV6NBF" TargetMode="External"/><Relationship Id="rId94" Type="http://schemas.openxmlformats.org/officeDocument/2006/relationships/hyperlink" Target="consultantplus://offline/ref=862BF38074F586FCD8A546FB316941F17AB1A675738BCA9F94C2F768FFVBN1F" TargetMode="External"/><Relationship Id="rId99" Type="http://schemas.openxmlformats.org/officeDocument/2006/relationships/hyperlink" Target="consultantplus://offline/ref=862BF38074F586FCD8A559EE346941F17CBBA0737BD89D9DC597F9V6NDF" TargetMode="External"/><Relationship Id="rId10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62BF38074F586FCD8A546FB316941F179B2A37B7888CA9F94C2F768FFB14EEF6465F5EA1D6AEA6EV6NBF" TargetMode="External"/><Relationship Id="rId13" Type="http://schemas.openxmlformats.org/officeDocument/2006/relationships/hyperlink" Target="consultantplus://offline/ref=862BF38074F586FCD8A546FB316941F179B2A37B7888CA9F94C2F768FFB14EEF6465F5EA1D6AEA6EV6N7F" TargetMode="External"/><Relationship Id="rId18" Type="http://schemas.openxmlformats.org/officeDocument/2006/relationships/hyperlink" Target="consultantplus://offline/ref=862BF38074F586FCD8A546FB316941F179B2A373718ACA9F94C2F768FFVBN1F" TargetMode="External"/><Relationship Id="rId39" Type="http://schemas.openxmlformats.org/officeDocument/2006/relationships/hyperlink" Target="consultantplus://offline/ref=862BF38074F586FCD8A546FB316941F17EB2A27B738597959C9BFB6AVFN8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376</TotalTime>
  <Pages>1</Pages>
  <Words>13232</Words>
  <Characters>75423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specstroit</dc:creator>
  <cp:keywords/>
  <dc:description/>
  <cp:lastModifiedBy>adm</cp:lastModifiedBy>
  <cp:revision>22</cp:revision>
  <cp:lastPrinted>2016-11-08T08:27:00Z</cp:lastPrinted>
  <dcterms:created xsi:type="dcterms:W3CDTF">2016-11-07T05:13:00Z</dcterms:created>
  <dcterms:modified xsi:type="dcterms:W3CDTF">2017-03-31T08:45:00Z</dcterms:modified>
</cp:coreProperties>
</file>