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652" w:rsidRDefault="00E9514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A77652" w:rsidRDefault="00E9514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реализации мероприятий государственной программы</w:t>
      </w:r>
    </w:p>
    <w:p w:rsidR="00A77652" w:rsidRDefault="00E9514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«Стимулирование развития жилищного строительства в Новосибирской области» за 2023 год</w:t>
      </w:r>
    </w:p>
    <w:p w:rsidR="00A77652" w:rsidRDefault="00A77652">
      <w:pPr>
        <w:jc w:val="center"/>
        <w:outlineLvl w:val="0"/>
        <w:rPr>
          <w:b/>
          <w:sz w:val="28"/>
          <w:szCs w:val="28"/>
        </w:rPr>
      </w:pPr>
    </w:p>
    <w:p w:rsidR="00E95143" w:rsidRDefault="00E95143">
      <w:pPr>
        <w:jc w:val="center"/>
        <w:outlineLvl w:val="0"/>
        <w:rPr>
          <w:b/>
          <w:sz w:val="28"/>
          <w:szCs w:val="28"/>
        </w:rPr>
      </w:pPr>
    </w:p>
    <w:p w:rsidR="00A77652" w:rsidRDefault="00E95143">
      <w:pPr>
        <w:pStyle w:val="a"/>
      </w:pPr>
      <w:r>
        <w:t>Общая характеристика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программа «Стимулирование развития жилищного строительства в Новосибирской области» (далее – государственная программа) утверждена Постановлением Правительства Новосибирской области от 20.02.2015 года № 68-п «Об утверждении государственной </w:t>
      </w:r>
      <w:r>
        <w:rPr>
          <w:sz w:val="28"/>
          <w:szCs w:val="28"/>
        </w:rPr>
        <w:t>программы Новосибирской области «Стимулирование развития жилищного строительства в Новосибирской области» (в ред. от 25.03.2024 № 117-п).</w:t>
      </w: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План реализации государственной программы утвержден приказом министерства строительства Новосибирской области от 12.01</w:t>
      </w:r>
      <w:r>
        <w:rPr>
          <w:sz w:val="28"/>
          <w:szCs w:val="28"/>
        </w:rPr>
        <w:t>.2023 № 7 «Об утверждении Плана реализации государственной программы Новосибирской области «Стимулирование развития жилищного строительства в Новосибирской области» (в ред. от 27.03.2024 № 185)</w:t>
      </w:r>
      <w:r>
        <w:rPr>
          <w:i/>
          <w:iCs/>
          <w:sz w:val="28"/>
          <w:szCs w:val="28"/>
        </w:rPr>
        <w:t xml:space="preserve"> (далее – действующая редакция).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программа вклю</w:t>
      </w:r>
      <w:r>
        <w:rPr>
          <w:sz w:val="28"/>
          <w:szCs w:val="28"/>
        </w:rPr>
        <w:t xml:space="preserve">чает в себя комплекс мер, направленных на стимулирование жилищного строительства и повышение доступности жилья для граждан. </w:t>
      </w:r>
    </w:p>
    <w:p w:rsidR="00A77652" w:rsidRDefault="00E95143">
      <w:pPr>
        <w:pStyle w:val="210"/>
        <w:spacing w:after="0" w:line="240" w:lineRule="auto"/>
        <w:ind w:left="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2023 года в состав государственной программы включены следующие подпрограммы государственной программы: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«Градостроительная подгот</w:t>
      </w:r>
      <w:r>
        <w:rPr>
          <w:rFonts w:ascii="Times New Roman" w:hAnsi="Times New Roman"/>
          <w:color w:val="000000"/>
          <w:sz w:val="28"/>
          <w:szCs w:val="28"/>
        </w:rPr>
        <w:t>овка территорий Новосибирской области и фонд пространственных данных Новосибирской области»;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«Земельные ресурсы и инфраструктура»;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«Государственная поддержка при завершении строительства «проблемных» жилых домов»;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1134"/>
          <w:tab w:val="left" w:pos="1418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«Государственная поддержка граждан при при</w:t>
      </w:r>
      <w:r>
        <w:rPr>
          <w:rFonts w:ascii="Times New Roman" w:hAnsi="Times New Roman"/>
          <w:color w:val="000000"/>
          <w:sz w:val="28"/>
          <w:szCs w:val="28"/>
        </w:rPr>
        <w:t>обретении (строительстве) жилья и стимулирование развития ипотечного кредитования»;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«Государственная поддержка муниципальных образований Новосибирской области в обеспечении жилыми помещениями многодетных малообеспеченных семей»;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«Строительство (приобретени</w:t>
      </w:r>
      <w:r>
        <w:rPr>
          <w:rFonts w:ascii="Times New Roman" w:hAnsi="Times New Roman"/>
          <w:color w:val="000000"/>
          <w:sz w:val="28"/>
          <w:szCs w:val="28"/>
        </w:rPr>
        <w:t>е на первичном рынке) служебного жилья для отдельных категорий граждан, проживающих и работающих на территории Новосибирской области»;</w:t>
      </w:r>
    </w:p>
    <w:p w:rsidR="00A77652" w:rsidRDefault="00E95143">
      <w:pPr>
        <w:pStyle w:val="210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«Государственная поддержка муниципальных образований Новосибирской области при строительстве специализированного жилищног</w:t>
      </w:r>
      <w:r>
        <w:rPr>
          <w:rFonts w:ascii="Times New Roman" w:hAnsi="Times New Roman"/>
          <w:color w:val="000000"/>
          <w:sz w:val="28"/>
          <w:szCs w:val="28"/>
        </w:rPr>
        <w:t>о фонда».</w:t>
      </w:r>
    </w:p>
    <w:p w:rsidR="00A77652" w:rsidRDefault="00E9514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Отчет о ходе реализации государственной программы сформирован в программном комплексе «Региональный электронный бюджет. Бюджетное планирование» в подсистеме «Государственные программы Новосибирской области» государственной информационной системы </w:t>
      </w:r>
      <w:r>
        <w:rPr>
          <w:bCs/>
          <w:sz w:val="28"/>
          <w:szCs w:val="28"/>
        </w:rPr>
        <w:t>«Программно-целевое управление» 03.04.2024 (Версия 4).</w:t>
      </w:r>
    </w:p>
    <w:p w:rsidR="00A77652" w:rsidRDefault="00E95143">
      <w:pPr>
        <w:rPr>
          <w:sz w:val="28"/>
          <w:szCs w:val="28"/>
          <w:highlight w:val="yellow"/>
        </w:rPr>
      </w:pPr>
      <w:r>
        <w:rPr>
          <w:bCs/>
          <w:sz w:val="28"/>
          <w:szCs w:val="28"/>
        </w:rPr>
        <w:br w:type="page" w:clear="all"/>
      </w:r>
    </w:p>
    <w:p w:rsidR="00A77652" w:rsidRDefault="00E95143">
      <w:pPr>
        <w:pStyle w:val="a"/>
      </w:pPr>
      <w:r>
        <w:lastRenderedPageBreak/>
        <w:t>Сведения о выполнении целевых индикаторов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 2023 году в государственной программе запланировано достижение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 xml:space="preserve"> 34 основных целевых индикаторов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 отчетный период получены следующие результаты по выполнению целевых индикаторов: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1. Общий объем ввода жилья на территории Новосибирской области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 xml:space="preserve">Плановое значение целевого индикатора в 2023 году составляет 2 300,0 тыс. кв. м., в т.ч. в г. Новосибирске –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1 335,0 тыс. кв. м., в прочих муниципальных образованиях Новосибирской области – 965,0 тыс. кв. м.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Введено в эксплуатацию жилья на территории Новосибирской области – 3 016,3 тыс. кв. м., что выше планового значения на 31,1 %, в т. ч. в г. Новосибирске – 1 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 xml:space="preserve">880,1 тыс. кв. м. (на 40,8 % выше планового значения), в прочих муниципальных образованиях Новосибирской области – 1 136,2тыс. кв. м. (на 17,7 % выше планового значения). 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Основной причиной увеличения объемов ввода жилья является опережающий объём ввода мн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огоквартирного жилья и значительный рост объемов ввода малоэтажного жилья.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Плановое значение целевого индикатора «Объем жилищного строительства» доводится до Новосибирской области Минстроем России, исходя из цели, определенной Указом Президента РФ № 474 от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21.07.2020 и Национальным проектом «Жильё и городская среда», обеспечить ежегодное увеличение объёма ввода жилья и к 2030 году выйти на уровень 120,0 млн.кв. в год по Российской Федерации и 2,600 млн. кв. метров в год по Новосибирской области ежегодно.</w:t>
      </w:r>
    </w:p>
    <w:p w:rsidR="00A77652" w:rsidRDefault="00E95143">
      <w:pPr>
        <w:ind w:firstLine="709"/>
        <w:contextualSpacing/>
        <w:jc w:val="both"/>
        <w:rPr>
          <w:sz w:val="28"/>
          <w:lang w:eastAsia="zh-CN"/>
        </w:rPr>
      </w:pPr>
      <w:r>
        <w:rPr>
          <w:sz w:val="28"/>
          <w:lang w:eastAsia="zh-CN"/>
        </w:rPr>
        <w:t>По</w:t>
      </w:r>
      <w:r>
        <w:rPr>
          <w:sz w:val="28"/>
          <w:lang w:eastAsia="zh-CN"/>
        </w:rPr>
        <w:t>казатели федерального проекта «Жилье» регионального проекта «Жилье» по Новосибирской области предусмотрены Соглашением о реализации регионального проекта «Жилье» на территории Новосибирской области, заключенным между Министерством строительства и жилищно-к</w:t>
      </w:r>
      <w:r>
        <w:rPr>
          <w:sz w:val="28"/>
          <w:lang w:eastAsia="zh-CN"/>
        </w:rPr>
        <w:t>оммунального хозяйства Российской Федерации и Правительством Новосибирской области от 01.12.2019 № 069-2019-F10041 (далее – Соглашение) (в редакции от 05.12.2019 № 069-2019-F10041-1/1, от 30.07.2020 № 069-2019-F10041-1/2, от 14.12.2020 № 069-2019-F10041-1/</w:t>
      </w:r>
      <w:r>
        <w:rPr>
          <w:sz w:val="28"/>
          <w:lang w:eastAsia="zh-CN"/>
        </w:rPr>
        <w:t xml:space="preserve">3, от 23.12.2021 № 069-2019-F10041-1/4, от 13.01.2022 № 069-2019-F10041-1/5, от 15.12.2022 № 069-2019-F10041-1/6, </w:t>
      </w:r>
      <w:r>
        <w:rPr>
          <w:sz w:val="28"/>
          <w:szCs w:val="28"/>
          <w:lang w:eastAsia="zh-CN"/>
        </w:rPr>
        <w:t>от 13.12.2023 № 069-2019-F10041-1/7, от 20.12.2023 № 069-2019-F10041-1/8, от 21.02.2024 № 069-2019-F10041-1/</w:t>
      </w:r>
      <w:r>
        <w:rPr>
          <w:sz w:val="28"/>
          <w:lang w:eastAsia="zh-CN"/>
        </w:rPr>
        <w:t>9).</w:t>
      </w:r>
    </w:p>
    <w:p w:rsidR="00A77652" w:rsidRDefault="00E95143">
      <w:pPr>
        <w:ind w:firstLine="709"/>
        <w:contextualSpacing/>
        <w:jc w:val="both"/>
        <w:rPr>
          <w:sz w:val="28"/>
          <w:lang w:eastAsia="zh-CN"/>
        </w:rPr>
      </w:pPr>
      <w:r>
        <w:rPr>
          <w:sz w:val="28"/>
          <w:lang w:eastAsia="zh-CN"/>
        </w:rPr>
        <w:t>В приложении № 1 данного Согла</w:t>
      </w:r>
      <w:r>
        <w:rPr>
          <w:sz w:val="28"/>
          <w:lang w:eastAsia="zh-CN"/>
        </w:rPr>
        <w:t>шения предусмотрены плановые значения показателей регионального проекта «Жилье», характеризующих ввод жилья на территории Новосибирской области:</w:t>
      </w:r>
    </w:p>
    <w:p w:rsidR="00A77652" w:rsidRDefault="00E95143">
      <w:pPr>
        <w:ind w:firstLine="709"/>
        <w:contextualSpacing/>
        <w:jc w:val="both"/>
        <w:rPr>
          <w:lang w:eastAsia="zh-CN"/>
        </w:rPr>
      </w:pPr>
      <w:r>
        <w:rPr>
          <w:sz w:val="28"/>
          <w:szCs w:val="28"/>
          <w:lang w:eastAsia="zh-CN"/>
        </w:rPr>
        <w:t>2023 г. – 2,300 млн.кв.м;</w:t>
      </w:r>
    </w:p>
    <w:p w:rsidR="00A77652" w:rsidRDefault="00E95143">
      <w:pPr>
        <w:ind w:firstLine="709"/>
        <w:contextualSpacing/>
        <w:jc w:val="both"/>
        <w:rPr>
          <w:lang w:eastAsia="zh-CN"/>
        </w:rPr>
      </w:pPr>
      <w:r>
        <w:rPr>
          <w:sz w:val="28"/>
          <w:szCs w:val="28"/>
          <w:lang w:eastAsia="zh-CN"/>
        </w:rPr>
        <w:t>2024 г. – 2,154 млн.кв.м;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г. – 2,154 млн.кв.м.</w:t>
      </w:r>
    </w:p>
    <w:p w:rsidR="00A77652" w:rsidRDefault="00E95143">
      <w:pPr>
        <w:ind w:firstLine="709"/>
        <w:contextualSpacing/>
        <w:jc w:val="both"/>
        <w:rPr>
          <w:lang w:eastAsia="zh-CN"/>
        </w:rPr>
      </w:pPr>
      <w:r>
        <w:rPr>
          <w:i/>
          <w:iCs/>
          <w:sz w:val="28"/>
          <w:szCs w:val="28"/>
        </w:rPr>
        <w:t>2. Объем ввода малоэтажного жилья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Плановое значение целевого индикатора в 2023 году составляет 1 036,0 тыс. кв. м., в т.ч. в г. Новосибирск – 195,0 тыс. кв. м., в прочих муниципальных образованиях Новосибирской области – 841,0 тыс. кв. м.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Объем ввода малоэтажного жилья составляет 1 133,0 </w:t>
      </w:r>
      <w:r>
        <w:rPr>
          <w:sz w:val="28"/>
          <w:szCs w:val="28"/>
          <w:lang w:eastAsia="zh-CN"/>
        </w:rPr>
        <w:t>тыс. кв. м., что превышает плановое значение на 9,4 %, в т.ч. в г. Новосибирске – 219,0 тыс. кв. м. (на 12,3 % выше планового значения), в прочих муниципальных образованиях Новосибирской области – 914,0 тыс. кв. м (на 8,7 % выше планового значения).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Основн</w:t>
      </w:r>
      <w:r>
        <w:rPr>
          <w:sz w:val="28"/>
          <w:szCs w:val="28"/>
          <w:lang w:eastAsia="zh-CN"/>
        </w:rPr>
        <w:t>ой причиной перевыполнения плановых значений является значительный рост объемов ввода индивидуального жилья.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  <w:highlight w:val="yellow"/>
        </w:rPr>
      </w:pPr>
      <w:r>
        <w:rPr>
          <w:i/>
          <w:iCs/>
          <w:sz w:val="28"/>
          <w:szCs w:val="28"/>
          <w:lang w:eastAsia="zh-CN"/>
        </w:rPr>
        <w:t>2. Ввод жилья на душу населения</w:t>
      </w:r>
      <w:r>
        <w:rPr>
          <w:i/>
          <w:iCs/>
          <w:sz w:val="28"/>
          <w:szCs w:val="28"/>
          <w:highlight w:val="yellow"/>
          <w:lang w:eastAsia="zh-CN"/>
        </w:rPr>
        <w:t xml:space="preserve"> 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Плановое значение целевого индикатора в 2023 году составляет 0,82 кв. м. на человека, фактическое значение – 1,079</w:t>
      </w:r>
      <w:r>
        <w:rPr>
          <w:sz w:val="28"/>
          <w:szCs w:val="28"/>
          <w:lang w:eastAsia="zh-CN"/>
        </w:rPr>
        <w:t> кв. м. на человека. Перевыполнение планового значения целевого индикатора на 31,6 кв. м. на человека связано с перевыполнением объёмов введенного жилья на 31,1 %.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3. Удельный вес введенной общей площади жилых домов по отношению к общей площади жилищного ф</w:t>
      </w:r>
      <w:r>
        <w:rPr>
          <w:i/>
          <w:iCs/>
          <w:sz w:val="28"/>
          <w:szCs w:val="28"/>
          <w:lang w:eastAsia="zh-CN"/>
        </w:rPr>
        <w:t>онда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Плановое значение целевого индикатора в 2023 году составляет 2,8 %, фактическое значение – 3,7 %. Перевыполнение планового значения целевого индикатора на 32,1 % связано с опережающим объемом ввода жилья по итогам 2023 года.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  <w:lang w:eastAsia="zh-CN"/>
        </w:rPr>
      </w:pPr>
      <w:r>
        <w:rPr>
          <w:i/>
          <w:sz w:val="28"/>
          <w:szCs w:val="28"/>
        </w:rPr>
        <w:t>4.</w:t>
      </w:r>
      <w:r>
        <w:rPr>
          <w:i/>
          <w:iCs/>
          <w:sz w:val="28"/>
          <w:szCs w:val="28"/>
          <w:lang w:eastAsia="zh-CN"/>
        </w:rPr>
        <w:t> Обеспеченность населени</w:t>
      </w:r>
      <w:r>
        <w:rPr>
          <w:i/>
          <w:iCs/>
          <w:sz w:val="28"/>
          <w:szCs w:val="28"/>
          <w:lang w:eastAsia="zh-CN"/>
        </w:rPr>
        <w:t>я жильем</w:t>
      </w:r>
    </w:p>
    <w:p w:rsidR="00A77652" w:rsidRDefault="00E9514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t xml:space="preserve">Плановое значение целевого индикатора в 2023 году составляет 28,7 кв. м. общей площади на 1 человека, фактическое значение составило 28,8 кв. м. общей площади на 1 человека, что выше планового на 0,3 %. 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5. Коэффициент доступности жилья для населе</w:t>
      </w:r>
      <w:r>
        <w:rPr>
          <w:i/>
          <w:iCs/>
          <w:sz w:val="28"/>
          <w:szCs w:val="28"/>
        </w:rPr>
        <w:t>ния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Плановое значение целевого индикатора в 2023 году составляет 2,8 лет, фактическое составило – 3 года, что выше планового на </w:t>
      </w:r>
      <w:r>
        <w:rPr>
          <w:sz w:val="28"/>
          <w:szCs w:val="28"/>
          <w:lang w:eastAsia="zh-CN"/>
        </w:rPr>
        <w:t>0,2 п.п.,</w:t>
      </w:r>
      <w:r>
        <w:rPr>
          <w:sz w:val="28"/>
          <w:szCs w:val="28"/>
          <w:lang w:eastAsia="zh-CN"/>
        </w:rPr>
        <w:t xml:space="preserve"> ухудшение показателя связано с непропорциональным ростом цен на первичном и вторичном рынке жилья по Новосибирской обл</w:t>
      </w:r>
      <w:r>
        <w:rPr>
          <w:sz w:val="28"/>
          <w:szCs w:val="28"/>
          <w:lang w:eastAsia="zh-CN"/>
        </w:rPr>
        <w:t>асти по отношению к среднедушевым денежным доходам населения.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2023 году коэффициент доступности жилья улучшился по сравнению с 2022 годом и составил 3 года. Улучшение коэффициента доступности жилья в 2023 году по сравнению с 2022 годом связано с увеличен</w:t>
      </w:r>
      <w:r>
        <w:rPr>
          <w:sz w:val="28"/>
          <w:szCs w:val="28"/>
          <w:lang w:eastAsia="zh-CN"/>
        </w:rPr>
        <w:t>ием среднедушевых доходов населения Новосибирской области, так денежные доходы населения Новосибирской области в 2023 году увеличились на 16,21 % по сравнению с 2022 годом. А средняя цена 1 кв. м. общей площади квартир на первичном рынке в 2023 году увелич</w:t>
      </w:r>
      <w:r>
        <w:rPr>
          <w:sz w:val="28"/>
          <w:szCs w:val="28"/>
          <w:lang w:eastAsia="zh-CN"/>
        </w:rPr>
        <w:t xml:space="preserve">илась на 13,43 % по сравнению с 2022 годом. 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Таким образом, учитывая государственную поддержку в части приобретения жилья на первичном рынке, а также рост доходов населения, доступность жилья увеличилась по сравнению с 2022 годом.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6. Количество выданных ипотечных кредитов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Плановое значение целевого индикатора в 2023 году составляет 35,0 тыс. шт. Фактически было выдано 50,351 тыс. шт. ипотечных кредитов.</w:t>
      </w:r>
    </w:p>
    <w:p w:rsidR="00A77652" w:rsidRDefault="00E95143">
      <w:pPr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Рост ипотечных кредитов на 43,8 %по сравнению с плановым значением связан с госу</w:t>
      </w:r>
      <w:r>
        <w:rPr>
          <w:sz w:val="28"/>
          <w:szCs w:val="28"/>
          <w:lang w:eastAsia="zh-CN"/>
        </w:rPr>
        <w:t>дарственной поддержкой (льготная ипотека, ипотека для IT – специалистов, выплаты многодетным семьям, семейная ипотека).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7. Доля территориальных зон, сведения о границах которых внесены в Единый государственный реестр недвижимости, в общем количестве </w:t>
      </w:r>
      <w:r>
        <w:rPr>
          <w:i/>
          <w:iCs/>
          <w:sz w:val="28"/>
          <w:szCs w:val="28"/>
        </w:rPr>
        <w:lastRenderedPageBreak/>
        <w:t>террит</w:t>
      </w:r>
      <w:r>
        <w:rPr>
          <w:i/>
          <w:iCs/>
          <w:sz w:val="28"/>
          <w:szCs w:val="28"/>
        </w:rPr>
        <w:t>ориальных зон, установленных правилами землепользования и застройки муниципальных образований Новосибирской области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Плановое значение целевого индикатора в 2023 году составляет 50,0 %. Фактическое значение составляет 37,67 %, ухудшение значения показателя </w:t>
      </w:r>
      <w:r>
        <w:rPr>
          <w:sz w:val="28"/>
          <w:szCs w:val="28"/>
          <w:lang w:eastAsia="zh-CN"/>
        </w:rPr>
        <w:t>связано с актуализацией плана-графика проведения работ по описанию местоположения границ и населенных пунктов, территориальных зон (утвержден зам.Губернатора Новосибирской области Теленчиновым Р.А. 30.08.2023).</w:t>
      </w:r>
    </w:p>
    <w:p w:rsidR="00A77652" w:rsidRDefault="00E95143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8. Доля населенных пунктов, сведения о границ</w:t>
      </w:r>
      <w:r>
        <w:rPr>
          <w:i/>
          <w:iCs/>
          <w:sz w:val="28"/>
          <w:szCs w:val="28"/>
        </w:rPr>
        <w:t>ах которых внесены в Единый государственный реестр недвижимости, в общем количестве населенных пунктов муниципальных образований Новосибирской области</w:t>
      </w:r>
    </w:p>
    <w:p w:rsidR="00A77652" w:rsidRDefault="00E951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Плановое значение целевого индикатора в 2023 году составляет 75,0 %. Фактическое значение составляет 65,1</w:t>
      </w:r>
      <w:r>
        <w:rPr>
          <w:sz w:val="28"/>
          <w:szCs w:val="28"/>
          <w:lang w:eastAsia="zh-CN"/>
        </w:rPr>
        <w:t> %, ухудшение значения показателя связано с актуализацией плана-графика проведения работ по описанию местоположения границ и населенных пунктов, территориальных зон (утвержден зам.Губернатора Новосибирской области Теленчиновым Р.А. 30.08.2023).</w:t>
      </w:r>
    </w:p>
    <w:p w:rsidR="00A77652" w:rsidRDefault="00E95143">
      <w:pPr>
        <w:ind w:firstLine="709"/>
        <w:contextualSpacing/>
        <w:jc w:val="both"/>
        <w:rPr>
          <w:bCs/>
          <w:i/>
          <w:sz w:val="28"/>
          <w:szCs w:val="28"/>
        </w:rPr>
      </w:pPr>
      <w:r>
        <w:rPr>
          <w:i/>
          <w:iCs/>
          <w:sz w:val="28"/>
          <w:szCs w:val="28"/>
        </w:rPr>
        <w:t>9. Удельный вес площади земельных участков комплексной застройки, формируемых муниципальными образованиями, по которым выполнены мероприятия по обеспечению инженерной инфраструктурой, от общей площади земельных участков комплексной застройки, формируемых м</w:t>
      </w:r>
      <w:r>
        <w:rPr>
          <w:i/>
          <w:iCs/>
          <w:sz w:val="28"/>
          <w:szCs w:val="28"/>
        </w:rPr>
        <w:t>униципальными образованиями, на которых необходимо проведение работ по обеспечению инженерной инфраструктурой</w:t>
      </w:r>
    </w:p>
    <w:p w:rsidR="00A77652" w:rsidRDefault="00E95143">
      <w:pPr>
        <w:ind w:firstLine="709"/>
        <w:contextualSpacing/>
        <w:jc w:val="both"/>
      </w:pPr>
      <w:r>
        <w:rPr>
          <w:sz w:val="28"/>
          <w:szCs w:val="28"/>
        </w:rPr>
        <w:t>В 2023 году фактическое значение целевого индикатора 6,3 %</w:t>
      </w:r>
      <w:r>
        <w:rPr>
          <w:sz w:val="28"/>
          <w:szCs w:val="28"/>
          <w:lang w:eastAsia="zh-CN"/>
        </w:rPr>
        <w:t xml:space="preserve"> достигнуто с учетом емкости площадок комплексного жилищного строительства.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10. Удельны</w:t>
      </w:r>
      <w:r>
        <w:rPr>
          <w:i/>
          <w:sz w:val="28"/>
          <w:szCs w:val="28"/>
        </w:rPr>
        <w:t xml:space="preserve">й вес </w:t>
      </w:r>
      <w:r>
        <w:rPr>
          <w:i/>
          <w:sz w:val="28"/>
          <w:szCs w:val="28"/>
        </w:rPr>
        <w:t>«проблемных» о</w:t>
      </w:r>
      <w:r>
        <w:rPr>
          <w:i/>
          <w:sz w:val="28"/>
          <w:szCs w:val="28"/>
        </w:rPr>
        <w:t>бъектов, по которым выполнены мероприятия по обеспечению инженерной инфраструктурой и благоустройством придомовой территории, от общего количества "проблемных" объектов, по которым требуется обеспечение инженерной инфраструктурой и благ</w:t>
      </w:r>
      <w:r>
        <w:rPr>
          <w:i/>
          <w:sz w:val="28"/>
          <w:szCs w:val="28"/>
        </w:rPr>
        <w:t>оустройством придомовой территории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Плановое значение целевого индикатора по итогам 2023 года (100,0 %) достигнуто, проблемный объект полностью обеспечен инженерной инфраструктурой, что позволило обеспечить его ввод в эксплуатацию (жилой дом по ул. Есенина</w:t>
      </w:r>
      <w:r>
        <w:rPr>
          <w:sz w:val="28"/>
          <w:szCs w:val="28"/>
        </w:rPr>
        <w:t>, 12/1).</w:t>
      </w:r>
    </w:p>
    <w:p w:rsidR="00A77652" w:rsidRDefault="00E95143">
      <w:pPr>
        <w:ind w:firstLine="709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11. Удельный вес </w:t>
      </w:r>
      <w:r>
        <w:rPr>
          <w:i/>
          <w:sz w:val="28"/>
          <w:szCs w:val="28"/>
        </w:rPr>
        <w:t xml:space="preserve">«проблемных» объектов, введенных в эксплуатацию, в общем количестве незавершенных строительством «проблемных» </w:t>
      </w:r>
      <w:r>
        <w:rPr>
          <w:i/>
          <w:sz w:val="28"/>
          <w:szCs w:val="28"/>
        </w:rPr>
        <w:t>объектов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Плановое значение целевого индикатора в 2023 году составляет 100,0 %. Фактическое значение целевого индикатор</w:t>
      </w:r>
      <w:r>
        <w:rPr>
          <w:sz w:val="28"/>
          <w:szCs w:val="28"/>
        </w:rPr>
        <w:t>а – 100,0 %, связано с выполнением запланированных мероприятий по вводу объектов в эксплуатацию.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12. Доля семей, которые имеют возможность приобретения жилья за счет ипотечного кредитования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Плановое значение целевого индикатора составляет 45,0 %. Фактиче</w:t>
      </w:r>
      <w:r>
        <w:rPr>
          <w:sz w:val="28"/>
          <w:szCs w:val="28"/>
        </w:rPr>
        <w:t>ское значение целевого индикатора – 30,4 %, что ниже на 32,45% 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ключевой процентной ставки ЦБ, а также размер первоначального взноса повлиял на семьи, которые могли воспользоваться ипотечным кредитованием.</w:t>
      </w:r>
    </w:p>
    <w:p w:rsidR="00A77652" w:rsidRDefault="00E95143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A77652" w:rsidRDefault="00E95143">
      <w:pPr>
        <w:pStyle w:val="aff1"/>
      </w:pPr>
      <w:r>
        <w:lastRenderedPageBreak/>
        <w:t xml:space="preserve">Подпрограмма государственной программы </w:t>
      </w:r>
    </w:p>
    <w:p w:rsidR="00A77652" w:rsidRDefault="00E95143">
      <w:pPr>
        <w:pStyle w:val="aff1"/>
      </w:pPr>
      <w:r>
        <w:t>«Гр</w:t>
      </w:r>
      <w:r>
        <w:t>адостроительная подготовка территорий и фонд пространственных данных Новосибирской области»</w:t>
      </w:r>
    </w:p>
    <w:p w:rsidR="00A77652" w:rsidRDefault="00A77652">
      <w:pPr>
        <w:pStyle w:val="aff1"/>
      </w:pP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1. Доля муниципальных образований Новосибирской агломерации, в которых подготовлены и утверждены документы территориального планирования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показате</w:t>
      </w:r>
      <w:r>
        <w:rPr>
          <w:sz w:val="28"/>
          <w:szCs w:val="28"/>
        </w:rPr>
        <w:t>ля составляет 100,0 %, фактическое значение за 2023 год составило 98,18 %. Фактическое значение ниже планового значения целевого индикатора связано со следующим: в связи с наличием несогласованных вопросов при согласовании проекта генерального плана возник</w:t>
      </w:r>
      <w:r>
        <w:rPr>
          <w:sz w:val="28"/>
          <w:szCs w:val="28"/>
        </w:rPr>
        <w:t>ла необходимость создания согласительной комиссии, что привело к значительному увеличению сроков подготовки проекта.</w:t>
      </w: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2. Доля муниципальных образований Новосибирской агломерации, в которых утверждены документы градостроительного зонирования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</w:t>
      </w:r>
      <w:r>
        <w:rPr>
          <w:sz w:val="28"/>
          <w:szCs w:val="28"/>
        </w:rPr>
        <w:t>е показателя составляет 100 %. Фактическое значение по итогам года составляет 100,0 %. Достижение планового значения показателя связано с утверждением Правил землепользования и застройки в отношении всех (55) муниципальных образований Новосибирской области</w:t>
      </w:r>
      <w:r>
        <w:rPr>
          <w:sz w:val="28"/>
          <w:szCs w:val="28"/>
        </w:rPr>
        <w:t>, входящих в состав Новосибирской агломерации.</w:t>
      </w: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3. Количество утвержденной документации по планировке территории (проектов планировки территории, проектов межевания территории) для размещения объектов регионального значения, подготовленной на основании доку</w:t>
      </w:r>
      <w:r>
        <w:rPr>
          <w:i/>
          <w:iCs/>
          <w:sz w:val="28"/>
          <w:szCs w:val="28"/>
        </w:rPr>
        <w:t>ментов территориального планирования Новосибирской области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целевого индикатора в 2023 году составляет 120 документов по планировке территории (проектов планировки территории, проектов межевания территории), подготовленной на основании док</w:t>
      </w:r>
      <w:r>
        <w:rPr>
          <w:sz w:val="28"/>
          <w:szCs w:val="28"/>
        </w:rPr>
        <w:t>ументов территориального планирования муниципальных образований Новосибирской агломерации. Фактическое значение по итогам 2023 года составило 149 документов. Перевыполнение целевого индикатора связано с внесением изменений в законодательство Российской Фед</w:t>
      </w:r>
      <w:r>
        <w:rPr>
          <w:sz w:val="28"/>
          <w:szCs w:val="28"/>
        </w:rPr>
        <w:t>ерации, предусматривающих сокращение сроков подготовки и согласования документации.</w:t>
      </w: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4. Количество утвержденной документации по планировке территории (проектов планировки территории, проектов межевания территории), подготовленной на основании документов тер</w:t>
      </w:r>
      <w:r>
        <w:rPr>
          <w:i/>
          <w:iCs/>
          <w:sz w:val="28"/>
          <w:szCs w:val="28"/>
        </w:rPr>
        <w:t>риториального планирования муниципальных образований Новосибирской агломерации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целевого индикатора в 2023 году составляет 74 шт., фактическое значение составило79 шт.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Перевыполнение планового показателя связано с внесением изменений в законодательство Российской Федерации, предусматривающих сокращение сроков подготовки и согласования документации.</w:t>
      </w:r>
    </w:p>
    <w:p w:rsidR="00A77652" w:rsidRDefault="00E95143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5. Доля территориальных зон, сведения о границах которых внесены в Единый</w:t>
      </w:r>
      <w:r>
        <w:rPr>
          <w:i/>
          <w:iCs/>
          <w:sz w:val="28"/>
          <w:szCs w:val="28"/>
        </w:rPr>
        <w:t xml:space="preserve"> государственный реестр недвижимости, в общем количестве территориальных зон, установленных правилами землепользования и застройки муниципальных образований Новосибирской агломерации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целевого индикатора в 2023 году составляет 90,0 %, факт</w:t>
      </w:r>
      <w:r>
        <w:rPr>
          <w:sz w:val="28"/>
          <w:szCs w:val="28"/>
        </w:rPr>
        <w:t xml:space="preserve">ическое значение составило 75,42 %. Недостижение целевого индикатора </w:t>
      </w:r>
      <w:r>
        <w:rPr>
          <w:sz w:val="28"/>
          <w:szCs w:val="28"/>
        </w:rPr>
        <w:lastRenderedPageBreak/>
        <w:t>связано с актуализацией плана-графика проведения работ по описанию местоположения границ и населенных пунктов, территориальных зон (утвержден зам.Губернатора Новосибирской области Теленчи</w:t>
      </w:r>
      <w:r>
        <w:rPr>
          <w:sz w:val="28"/>
          <w:szCs w:val="28"/>
        </w:rPr>
        <w:t>новым Р.А. 30.08.2023)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6. 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Доля населенных пунктов, сведения о границах которых внесены в Единый государственный реестр недвижимости, в общем количестве населенных пунктов муниципальных образований Новосибирской агломерации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целевого индикатора в 2023 году составляет 60,0 %, фактическое значение составило 43,66 %, недостижение целевого индикатора обусловлено актуализацией плана-графика проведения работ по описанию местоположения границ и населенных пунктов, т</w:t>
      </w:r>
      <w:r>
        <w:rPr>
          <w:sz w:val="28"/>
          <w:szCs w:val="28"/>
        </w:rPr>
        <w:t>ерриториальных зон (утвержден зам.Губернатора Новосибирской области Теленчиновым Р.А. 30.08.2023)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7. Доля границ между Новосибирской областью и субъектами Российской Федерации, сведения о которых внесены в Единый государственный реестр недвижимости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</w:t>
      </w:r>
      <w:r>
        <w:rPr>
          <w:sz w:val="28"/>
          <w:szCs w:val="28"/>
        </w:rPr>
        <w:t xml:space="preserve">е значение целевого индикатора в 2023 году составляет 100 %, фактическое значение – 100 %. Достижение целевого индикатора связано с внесением в </w:t>
      </w:r>
      <w:r>
        <w:rPr>
          <w:i/>
          <w:sz w:val="28"/>
          <w:szCs w:val="28"/>
        </w:rPr>
        <w:t xml:space="preserve">Единый государственный реестр недвижимости в полном объеме сведений о местоположении границ между Новосибирской </w:t>
      </w:r>
      <w:r>
        <w:rPr>
          <w:i/>
          <w:sz w:val="28"/>
          <w:szCs w:val="28"/>
        </w:rPr>
        <w:t>областью и смежными субъектами Российской Федерации: Алтайским краем, Кемеровской областью — Кузбассом, Омской областью, Томской областью.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8. Количество землеустроительных дел, подготовленных в целях внесения сведений об измененных границах муниципальных о</w:t>
      </w:r>
      <w:r>
        <w:rPr>
          <w:i/>
          <w:sz w:val="28"/>
          <w:szCs w:val="28"/>
        </w:rPr>
        <w:t>бразований Новосибирской области в ЕГРН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целевого индикатора в 2023 году составляет 10 шт, фактическое значение – 0 шт. В рамках государственного задания ГБУ НСО "Геофонд НСО" осуществлена подготовка координатного описания местоположения г</w:t>
      </w:r>
      <w:r>
        <w:rPr>
          <w:sz w:val="28"/>
          <w:szCs w:val="28"/>
        </w:rPr>
        <w:t>раниц 4 муниципальных образований Новосибирской области.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9. </w:t>
      </w:r>
      <w:r>
        <w:rPr>
          <w:i/>
          <w:sz w:val="28"/>
          <w:szCs w:val="28"/>
        </w:rPr>
        <w:t xml:space="preserve">Доля заказов, по которым предоставлены государственные услуги, от общего числа поступивших в государственное бюджетное учреждение Новосибирской области "Фонд пространственных данных Новосибирской </w:t>
      </w:r>
      <w:r>
        <w:rPr>
          <w:i/>
          <w:sz w:val="28"/>
          <w:szCs w:val="28"/>
        </w:rPr>
        <w:t>области" от субъектов градостроительных отношений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целевого индикатора составило 100 %, что соответствует плановому значению целевого индикатора.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10. Объем предоставленных субъектам градостроительных отношений пространственных данных и 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материалов в бумажном и электронном виде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Плановое значение целевого индикатора в 2023 году составляет 60 000,0 баз. ед., фактическое значение – 82 768,0 баз. ед., что на 22 768,0 баз. ед. превышает значение планового показателя. Превышение планового показа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теля связано с фактическим предоставлением пространственных данных юридическим и физическим лицам на основании поступивших заявлений.</w:t>
      </w:r>
    </w:p>
    <w:p w:rsidR="00A77652" w:rsidRDefault="00E95143">
      <w:r>
        <w:br w:type="page" w:clear="all"/>
      </w:r>
    </w:p>
    <w:p w:rsidR="00A77652" w:rsidRDefault="00E95143">
      <w:pPr>
        <w:pStyle w:val="aff1"/>
      </w:pPr>
      <w:r>
        <w:lastRenderedPageBreak/>
        <w:t>Подпрограмма государственной программы</w:t>
      </w:r>
    </w:p>
    <w:p w:rsidR="00A77652" w:rsidRDefault="00E95143">
      <w:pPr>
        <w:pStyle w:val="aff1"/>
      </w:pPr>
      <w:r>
        <w:t>«Земельные ресурсы и инфраструктура»</w:t>
      </w:r>
    </w:p>
    <w:p w:rsidR="00A77652" w:rsidRDefault="00A77652">
      <w:pPr>
        <w:pStyle w:val="26"/>
        <w:spacing w:after="0" w:line="240" w:lineRule="auto"/>
        <w:ind w:left="0"/>
        <w:jc w:val="center"/>
        <w:rPr>
          <w:rFonts w:ascii="Times New Roman" w:eastAsia="Times New Roman" w:hAnsi="Times New Roman"/>
          <w:bCs/>
          <w:i/>
          <w:sz w:val="28"/>
          <w:szCs w:val="28"/>
          <w:highlight w:val="yellow"/>
          <w:lang w:val="ru-RU" w:eastAsia="ru-RU"/>
        </w:rPr>
      </w:pP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1. Количество объектов инженерной и транспо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ртной инфраструктуры, необходимых для обеспечения земельных участков для комплексного жилищного строительства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2023 году АО «АРЖС НСО» заключен договор по строительству объектов инженерной инфраструктуры в целях реализации </w:t>
      </w:r>
      <w:r>
        <w:rPr>
          <w:rFonts w:ascii="Times New Roman" w:hAnsi="Times New Roman"/>
          <w:sz w:val="28"/>
          <w:szCs w:val="28"/>
          <w:lang w:val="ru-RU"/>
        </w:rPr>
        <w:t xml:space="preserve">инвестиционного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проекта «Территория поселка Клюквенный (ул. Подневича) в Калининском районе г. Новосибирска». С учетом срока завершения работ достижение целевого индикатора запланировано на 2024 год. 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2.  Ввод жилья в рамках мероприятия по стимулированию программ развития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 xml:space="preserve"> жилищного строительства субъектов Российской Федерации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Плановое значение показателя – 15,6 тыс.кв.м., фактическое составило – 27,9 тыс. кв. м. Перевыполнение показателя связано с большим количеством ввода жилья на площадках комплексной застройки (Жилой ми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крорайон «Чистая Слобода») в рамках федерального проекта «Жилье». </w:t>
      </w:r>
    </w:p>
    <w:p w:rsidR="00A77652" w:rsidRDefault="00A77652">
      <w:pPr>
        <w:pStyle w:val="aff1"/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поддержка при завершении строительства «проблемных» жилых домов»</w:t>
      </w:r>
    </w:p>
    <w:p w:rsidR="00A77652" w:rsidRDefault="00A77652">
      <w:pPr>
        <w:pStyle w:val="26"/>
        <w:spacing w:after="0" w:line="240" w:lineRule="auto"/>
        <w:ind w:left="0" w:firstLine="720"/>
        <w:jc w:val="center"/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</w:pP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1.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 Количество «проблемных» объектов, по которым выполнены мероприятия по обеспечению инженерной инфраструктурой и благоустройством придомовой территории</w:t>
      </w:r>
    </w:p>
    <w:p w:rsidR="00A77652" w:rsidRDefault="00E95143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Фактическое значение целевого индикатора в 2023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году составляет 1 ед, что составляет 100% от планового зн</w:t>
      </w:r>
      <w:r>
        <w:rPr>
          <w:sz w:val="28"/>
          <w:szCs w:val="28"/>
        </w:rPr>
        <w:t>ачения показателя. В 2023 году полностью обеспечен инженерной инфраструктурой 1 проблемный объект, что позволило обеспечить его ввод (жилой дом по ул. Есенина, 12/1).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2. Количество граждан, пострадавших от действий недобросовестных застройщиков, получивших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субсидии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показателя – 23 человек, фактическое значение по итогам 2023 года составило 20 человек. Предоставление субсидии носит заявительный характер, количество обратившихся составило 20 человек.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Потребность возникает по фактически поступившим заявлениям от граждан, имеющих право на получение социальной выплаты.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3. Количество «проблемных» объектов, введенных в эксплуатацию из общего количества незавершенных строительством «проблемных» объектов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  <w:r>
        <w:rPr>
          <w:sz w:val="28"/>
          <w:szCs w:val="28"/>
        </w:rPr>
        <w:t>овое значение показателя – 18 ед., фактическое значение составило – 18 ед. Из единого реестра проблемных объектов с начала 2023 года исключено 18 объектов, по которым восстановлены права граждан.</w:t>
      </w:r>
    </w:p>
    <w:p w:rsidR="00A77652" w:rsidRDefault="00E95143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A77652" w:rsidRDefault="00E95143">
      <w:pPr>
        <w:pStyle w:val="aff1"/>
      </w:pPr>
      <w:r>
        <w:lastRenderedPageBreak/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</w:t>
      </w:r>
      <w:r>
        <w:t>ддержка граждан при приобретении (строительстве) жилья и стимулирование развития ипотечного кредитования»</w:t>
      </w:r>
    </w:p>
    <w:p w:rsidR="00A77652" w:rsidRDefault="00A77652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1. Количество граждан отдельных категорий, которым предоставлены субсидии для оплаты приобретаемых (строящихся) жилых помещений в соответствии с пост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ановлением Губернатора Новосибирской области от 04.02.2008 № 31 «Об 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бластного бюджета Новосибирской области»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Плановое значение показателя – 2 человека. </w:t>
      </w:r>
      <w:r>
        <w:rPr>
          <w:color w:val="000000"/>
          <w:sz w:val="28"/>
          <w:szCs w:val="28"/>
        </w:rPr>
        <w:t>Предоставление субсидии носит заявительный характер, по итогам 2023 года заявлений не поступало, субсидия никому не предоставлена.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2. Количество работников бюджетной сферы,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 xml:space="preserve"> получивших субсидии при ипотечном кредитовании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количества граждан, получивших субсидии при ипотечном кредитовании – 6 человек, фактическое – 0 человек. Недостижение целевого индикатора связано с заявительным характером предоставления суб</w:t>
      </w:r>
      <w:r>
        <w:rPr>
          <w:sz w:val="28"/>
          <w:szCs w:val="28"/>
        </w:rPr>
        <w:t>сидии. На протяжении 2023 года заявлений от работников бюджетной сферы не поступало.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возникает по фактически поступившим заявлениям от граждан, имеющих право на получение субсидий.</w:t>
      </w:r>
    </w:p>
    <w:p w:rsidR="00A77652" w:rsidRDefault="00A77652">
      <w:pPr>
        <w:ind w:firstLine="709"/>
        <w:jc w:val="both"/>
        <w:rPr>
          <w:sz w:val="28"/>
          <w:szCs w:val="28"/>
        </w:rPr>
      </w:pPr>
    </w:p>
    <w:p w:rsidR="00A77652" w:rsidRDefault="00E95143">
      <w:pPr>
        <w:pStyle w:val="aff1"/>
      </w:pPr>
      <w:r>
        <w:t xml:space="preserve">Подпрограмма государственной программы </w:t>
      </w:r>
    </w:p>
    <w:p w:rsidR="00A77652" w:rsidRDefault="00E95143">
      <w:pPr>
        <w:pStyle w:val="aff1"/>
      </w:pPr>
      <w:r>
        <w:t>«Государственная подде</w:t>
      </w:r>
      <w:r>
        <w:t>ржка муниципальных образований Новосибирской области в обеспечении жилыми помещениями многодетных малообеспеченных семей»</w:t>
      </w:r>
    </w:p>
    <w:p w:rsidR="00A77652" w:rsidRDefault="00A77652">
      <w:pPr>
        <w:pStyle w:val="26"/>
        <w:spacing w:after="0" w:line="240" w:lineRule="auto"/>
        <w:ind w:left="0" w:firstLine="720"/>
        <w:jc w:val="center"/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</w:pP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1. Количество многодетных малообеспеченных семей, обеспеченных жилыми помещениями в рамках подпрограммы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значение показателя – 8 семей., фактическое значение составило – 7 семей.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2023 года приобретено жилье для 7 многодетных малообеспеченных семей. Недостижение количественного показателя связано с расторжением контракта на покупку жилья в М</w:t>
      </w:r>
      <w:r>
        <w:rPr>
          <w:sz w:val="28"/>
          <w:szCs w:val="28"/>
        </w:rPr>
        <w:t>ошковском районе из-за несоответствия жилого помещения требованиям.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highlight w:val="green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Потребность соответствует количеству семей, имеющих 5 и более несовершеннолетних детей, состоящих на учете нуждающихся в жилых помещениях, предоставляемых по договорам социального найма. По состоянию на 01.01.2023 года таких семей 495.</w:t>
      </w:r>
    </w:p>
    <w:p w:rsidR="00A77652" w:rsidRDefault="00E95143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A77652" w:rsidRDefault="00E95143">
      <w:pPr>
        <w:pStyle w:val="aff1"/>
      </w:pPr>
      <w:r>
        <w:lastRenderedPageBreak/>
        <w:t>Подпрограмма госуд</w:t>
      </w:r>
      <w:r>
        <w:t>арственной программы</w:t>
      </w:r>
    </w:p>
    <w:p w:rsidR="00A77652" w:rsidRDefault="00E95143">
      <w:pPr>
        <w:pStyle w:val="aff1"/>
      </w:pPr>
      <w:r>
        <w:t>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</w:t>
      </w:r>
    </w:p>
    <w:p w:rsidR="00A77652" w:rsidRDefault="00A77652">
      <w:pPr>
        <w:ind w:firstLine="720"/>
        <w:jc w:val="center"/>
        <w:rPr>
          <w:b/>
          <w:i/>
          <w:sz w:val="28"/>
          <w:szCs w:val="28"/>
        </w:rPr>
      </w:pP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>1. Количество квартир, построенных (приобретенных на первичном рынке) для</w:t>
      </w:r>
      <w:r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  <w:t xml:space="preserve"> предоставления отдельным категориям граждан, проживающих и работающих на территории Новосибирской области, в качестве служебного жилья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значе</w:t>
      </w:r>
      <w:r>
        <w:rPr>
          <w:sz w:val="28"/>
          <w:szCs w:val="28"/>
        </w:rPr>
        <w:t>ние показателя – 156 квартир, фактическое значение составило – 131 квартира. В</w:t>
      </w:r>
      <w:r>
        <w:rPr>
          <w:sz w:val="28"/>
          <w:szCs w:val="28"/>
        </w:rPr>
        <w:t xml:space="preserve"> 2023 году введено в эксплуа</w:t>
      </w:r>
      <w:r>
        <w:rPr>
          <w:sz w:val="28"/>
          <w:szCs w:val="28"/>
        </w:rPr>
        <w:t>тацию 109 жилых помещений и приобретено 22 жилых помещения.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25 квартир перенесено на 2024 год.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Потребность в служебном жилье для отдельных категорий граждан, проживающих и работающих на территории Новосибирской области, по состоянию на 01.01.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2023 года – 1 313 жилых помещений.</w:t>
      </w:r>
    </w:p>
    <w:p w:rsidR="00A77652" w:rsidRDefault="00A77652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поддержка муниципальных образований Новосибирской области при строительстве специализированного жилищного фонда»</w:t>
      </w:r>
    </w:p>
    <w:p w:rsidR="00A77652" w:rsidRDefault="00A77652">
      <w:pPr>
        <w:pStyle w:val="aff1"/>
      </w:pPr>
    </w:p>
    <w:p w:rsidR="00A77652" w:rsidRDefault="00E95143">
      <w:pPr>
        <w:pStyle w:val="26"/>
        <w:spacing w:after="0" w:line="240" w:lineRule="auto"/>
        <w:ind w:left="0" w:firstLine="720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1. 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Количество жилых помещений специализированного жилищного фонда, построенных для предоставления отдельным категориям граждан</w:t>
      </w:r>
    </w:p>
    <w:p w:rsidR="00A77652" w:rsidRDefault="00E95143">
      <w:pPr>
        <w:pStyle w:val="26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Плановое значение показателя – 531 ква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ртира,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фактическое значение составило – 286 квартир.</w:t>
      </w:r>
    </w:p>
    <w:p w:rsidR="00A77652" w:rsidRDefault="00E9514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Недостижение количественного показателя, </w:t>
      </w:r>
      <w:r>
        <w:rPr>
          <w:sz w:val="28"/>
          <w:szCs w:val="26"/>
        </w:rPr>
        <w:t>а также неосвоение средств областного бюджета связано с уменьшением в течение 2023 года количества жилых помещений, подлежащих вводу в эксплуатацию в 2023 году в связи с переносом срока ввода на последующие годы и перераспределением средств областного бюдж</w:t>
      </w:r>
      <w:r>
        <w:rPr>
          <w:sz w:val="28"/>
          <w:szCs w:val="26"/>
        </w:rPr>
        <w:t>ета со строительства жилья для детей-сирот на приобретение с Минстроя НСО</w:t>
      </w:r>
      <w:bookmarkStart w:id="0" w:name="undefined"/>
      <w:bookmarkEnd w:id="0"/>
      <w:r>
        <w:rPr>
          <w:sz w:val="28"/>
          <w:szCs w:val="26"/>
        </w:rPr>
        <w:t xml:space="preserve"> на министерство труда и социального развития Новосибирской области.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является расчетной и зависит от потребности в строительстве и приобретении специализированного жилищно</w:t>
      </w:r>
      <w:r>
        <w:rPr>
          <w:sz w:val="28"/>
          <w:szCs w:val="28"/>
        </w:rPr>
        <w:t>го фонда – служебного жилья и жилья для детей-сирот.</w:t>
      </w:r>
    </w:p>
    <w:p w:rsidR="00A77652" w:rsidRDefault="00E95143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A77652" w:rsidRDefault="00E95143">
      <w:pPr>
        <w:pStyle w:val="a"/>
        <w:spacing w:line="240" w:lineRule="auto"/>
        <w:ind w:left="0" w:firstLine="0"/>
      </w:pPr>
      <w:r>
        <w:lastRenderedPageBreak/>
        <w:t>Сведения о выполнении основных мероприятий</w:t>
      </w:r>
    </w:p>
    <w:p w:rsidR="00A77652" w:rsidRDefault="00A77652">
      <w:pPr>
        <w:pStyle w:val="26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Новосибирской от 23.12.2022 № 307-ОЗ «Об областном бюджете Новосибирской области на 2023 год и плановый период 2024 и 2025 г</w:t>
      </w:r>
      <w:r>
        <w:rPr>
          <w:sz w:val="28"/>
          <w:szCs w:val="28"/>
        </w:rPr>
        <w:t xml:space="preserve">одов» (в ред. от 15.12.2023 № 404-ОЗ) объем бюджетных ассигнований в 2023 году по государственной программе составляет 4 805 371,3 тыс. рублей, из них средства федерального бюджета 45 394,0 тыс. рублей, средства областного бюджета 4 685 422,2 тыс. рублей. </w:t>
      </w:r>
      <w:r>
        <w:rPr>
          <w:i/>
          <w:sz w:val="28"/>
          <w:szCs w:val="28"/>
        </w:rPr>
        <w:t>(Справочно: средства местного бюджета (далее–МБ) составляют 74 555,1 тыс. рублей).</w:t>
      </w:r>
      <w:r>
        <w:rPr>
          <w:sz w:val="28"/>
          <w:szCs w:val="28"/>
        </w:rPr>
        <w:t xml:space="preserve"> 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Согласно уточненной сводной бюджетной росписи на 31.</w:t>
      </w:r>
      <w:r>
        <w:rPr>
          <w:sz w:val="28"/>
          <w:szCs w:val="28"/>
        </w:rPr>
        <w:t xml:space="preserve">12.2023 (далее – </w:t>
      </w:r>
      <w:r>
        <w:rPr>
          <w:sz w:val="28"/>
          <w:szCs w:val="28"/>
        </w:rPr>
        <w:t xml:space="preserve">СБР) средства областного бюджета составляют 4 684 505,1 тыс. рублей. </w:t>
      </w:r>
      <w:r>
        <w:rPr>
          <w:i/>
          <w:sz w:val="28"/>
          <w:szCs w:val="28"/>
        </w:rPr>
        <w:t xml:space="preserve">(Справочно: средства федерального </w:t>
      </w:r>
      <w:r>
        <w:rPr>
          <w:i/>
          <w:sz w:val="28"/>
          <w:szCs w:val="28"/>
        </w:rPr>
        <w:t>бюджета – 45 394,0 тыс. рублей, средства МБ – 74 555,1 тыс. рублей).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финансирование за 2023 год из средств областного бюджета составило 4 013 300,0 тыс. рублей или 85,68 % от СБР на 2023 год. </w:t>
      </w:r>
      <w:r>
        <w:rPr>
          <w:i/>
          <w:sz w:val="28"/>
          <w:szCs w:val="28"/>
        </w:rPr>
        <w:t>(Справочно: федеральный бюджет – 45 394,0 тыс. рублей или 100 % от запланированного объема бюджетных ассигнований, МБ – 47 353,3тыс. рублей или 63,52% от запланированного объема бюджетных ассигнований в местном бюджете).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мероприятий го</w:t>
      </w:r>
      <w:r>
        <w:rPr>
          <w:sz w:val="28"/>
          <w:szCs w:val="28"/>
        </w:rPr>
        <w:t>сударственной программы в 2023 году достигнуты следующие результаты:</w:t>
      </w:r>
    </w:p>
    <w:p w:rsidR="00A77652" w:rsidRDefault="00A77652">
      <w:pPr>
        <w:ind w:firstLine="709"/>
        <w:jc w:val="both"/>
        <w:rPr>
          <w:sz w:val="28"/>
          <w:szCs w:val="28"/>
        </w:rPr>
      </w:pPr>
    </w:p>
    <w:p w:rsidR="00A77652" w:rsidRDefault="00E95143">
      <w:pPr>
        <w:pStyle w:val="aff1"/>
      </w:pPr>
      <w:hyperlink w:anchor="Par1093" w:tooltip="#Par1093" w:history="1">
        <w:r>
          <w:t>Подпрограмма</w:t>
        </w:r>
      </w:hyperlink>
      <w:r>
        <w:t xml:space="preserve"> государственной программы </w:t>
      </w:r>
    </w:p>
    <w:p w:rsidR="00A77652" w:rsidRDefault="00E95143">
      <w:pPr>
        <w:pStyle w:val="aff1"/>
      </w:pPr>
      <w:r>
        <w:t xml:space="preserve">«Градостроительная подготовка территорий </w:t>
      </w:r>
    </w:p>
    <w:p w:rsidR="00A77652" w:rsidRDefault="00E95143">
      <w:pPr>
        <w:pStyle w:val="aff1"/>
      </w:pPr>
      <w:r>
        <w:t>и</w:t>
      </w:r>
      <w:r>
        <w:rPr>
          <w:rFonts w:eastAsia="Calibri"/>
        </w:rPr>
        <w:t xml:space="preserve"> фонд пространственных данных Новосибирской области</w:t>
      </w:r>
      <w:r>
        <w:t>»</w:t>
      </w:r>
    </w:p>
    <w:p w:rsidR="00A77652" w:rsidRDefault="00A77652">
      <w:pPr>
        <w:ind w:firstLine="709"/>
        <w:jc w:val="center"/>
        <w:rPr>
          <w:b/>
          <w:i/>
          <w:sz w:val="28"/>
          <w:szCs w:val="28"/>
        </w:rPr>
      </w:pP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ср</w:t>
      </w:r>
      <w:r>
        <w:rPr>
          <w:sz w:val="28"/>
          <w:szCs w:val="28"/>
        </w:rPr>
        <w:t xml:space="preserve">едств областного бюджета в соответствии с СБР по подпрограмме составляет 155 300,2 тыс. рублей </w:t>
      </w:r>
      <w:r>
        <w:rPr>
          <w:i/>
          <w:sz w:val="28"/>
          <w:szCs w:val="28"/>
        </w:rPr>
        <w:t>(Справочно: МБ - 4 691,5 тыс. рублей).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 подпрограмме по итогам 2023 года из средств областного бюджета составило 137 690,0 тыс. рубл</w:t>
      </w:r>
      <w:r>
        <w:rPr>
          <w:sz w:val="28"/>
          <w:szCs w:val="28"/>
        </w:rPr>
        <w:t xml:space="preserve">ей </w:t>
      </w:r>
      <w:r>
        <w:rPr>
          <w:i/>
          <w:sz w:val="28"/>
          <w:szCs w:val="28"/>
        </w:rPr>
        <w:t>(Справочно: МБ - 2 000,0 тыс. рублей).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Процент исполнения средств областного бюджета составляет 88,67%. </w:t>
      </w:r>
    </w:p>
    <w:p w:rsidR="00A77652" w:rsidRDefault="00E9514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Мероприятие 1.1.3.1.1.1. «Подготовка градостроительной документации или внесение в нее изменений в рамках полномочий муниципальных образований Новос</w:t>
      </w:r>
      <w:r>
        <w:rPr>
          <w:b/>
          <w:sz w:val="28"/>
          <w:szCs w:val="28"/>
        </w:rPr>
        <w:t>ибирской области»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составляет 18 374,0 тыс. рублей </w:t>
      </w:r>
      <w:r>
        <w:rPr>
          <w:i/>
          <w:sz w:val="28"/>
          <w:szCs w:val="28"/>
        </w:rPr>
        <w:t xml:space="preserve">(Справочно: МБ - 4 691,5 тыс. рублей), </w:t>
      </w:r>
      <w:r>
        <w:rPr>
          <w:sz w:val="28"/>
          <w:szCs w:val="28"/>
        </w:rPr>
        <w:t xml:space="preserve">фактическое финансирование из средств областного бюджета составило 11 147,3 тыс. рублей или 60,67 % от СБР </w:t>
      </w:r>
      <w:r>
        <w:rPr>
          <w:i/>
          <w:sz w:val="28"/>
          <w:szCs w:val="28"/>
        </w:rPr>
        <w:t>(Справ</w:t>
      </w:r>
      <w:r>
        <w:rPr>
          <w:i/>
          <w:sz w:val="28"/>
          <w:szCs w:val="28"/>
        </w:rPr>
        <w:t>очно: МБ - 2 000,0 тыс. рублей).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Низкое исполнение средств областного бюджета обусловлено проведением аукционов в рамках Федерального закона РФ от 05.04.2013 № 44-ФЗ «О контрактной системе в сфере закупок товаров, работ, услуг для обеспечения государственн</w:t>
      </w:r>
      <w:r>
        <w:rPr>
          <w:sz w:val="28"/>
          <w:szCs w:val="28"/>
        </w:rPr>
        <w:t>ых и муниципальных нужд», по результатам которых стоимость контрактов на выполнение работ по подготовке градостроительной документации и (или) внесению изменений в нее была снижена.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1.1.3.1.1.2. «Утверждение градостроительной документации и вне</w:t>
      </w:r>
      <w:r>
        <w:rPr>
          <w:b/>
          <w:sz w:val="28"/>
          <w:szCs w:val="28"/>
        </w:rPr>
        <w:t xml:space="preserve">сение в нее изменений в рамках полномочий </w:t>
      </w:r>
      <w:r>
        <w:rPr>
          <w:b/>
          <w:sz w:val="28"/>
          <w:szCs w:val="28"/>
        </w:rPr>
        <w:lastRenderedPageBreak/>
        <w:t>министерства строительства Новосибирской области, а также подготовка исследовательских работ в целях развития агломераций Новосибирской области».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не предусмотрено предоставление субсиди</w:t>
      </w:r>
      <w:r>
        <w:rPr>
          <w:sz w:val="28"/>
          <w:szCs w:val="28"/>
        </w:rPr>
        <w:t>и из средств областного бюджета Новосибирской области. Утверждение и внесение изменений в градостроительную документацию осуществляется в рамках текущей деятельности Минстроя НСО.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2023 года в рамках действия подпрограммы министерством строительст</w:t>
      </w:r>
      <w:r>
        <w:rPr>
          <w:color w:val="000000"/>
          <w:sz w:val="28"/>
          <w:szCs w:val="28"/>
        </w:rPr>
        <w:t>ва Новосибирской области утверждено: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- 106 документов правил </w:t>
      </w:r>
      <w:r>
        <w:rPr>
          <w:sz w:val="28"/>
          <w:szCs w:val="28"/>
        </w:rPr>
        <w:t>землепользования и застройки / внесения изменений в правила землепользования и застройки поселений;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- 23 генеральных плана/внесения изменений в генеральные планы муниципальных образований.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</w:t>
      </w:r>
      <w:r>
        <w:rPr>
          <w:b/>
          <w:sz w:val="28"/>
          <w:szCs w:val="28"/>
        </w:rPr>
        <w:t>иятие 1.1.3.1.1.3. «Обеспечение всех субъектов градостроительных отношений актуальными пространственными данными и актуальной градостроительной документацией».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составляет 130 591,4 тыс. рублей, </w:t>
      </w:r>
      <w:r>
        <w:rPr>
          <w:color w:val="000000"/>
          <w:sz w:val="28"/>
          <w:szCs w:val="28"/>
        </w:rPr>
        <w:t>фактичес</w:t>
      </w:r>
      <w:r>
        <w:rPr>
          <w:color w:val="000000"/>
          <w:sz w:val="28"/>
          <w:szCs w:val="28"/>
        </w:rPr>
        <w:t xml:space="preserve">кое финансирование из средств областного бюджета составило </w:t>
      </w:r>
      <w:r>
        <w:rPr>
          <w:sz w:val="28"/>
          <w:szCs w:val="28"/>
        </w:rPr>
        <w:t xml:space="preserve">120 208,0 тыс. рублей </w:t>
      </w:r>
      <w:r>
        <w:rPr>
          <w:color w:val="000000"/>
          <w:sz w:val="28"/>
          <w:szCs w:val="28"/>
        </w:rPr>
        <w:t>или 92,05 % от СБР.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Неосвоение бюджетных ассигнований, предусмотренных бюджетом, связано со снятием экономии бюджетных средств по результатам закупочных процедур.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2023 год </w:t>
      </w:r>
      <w:r>
        <w:rPr>
          <w:color w:val="000000"/>
          <w:sz w:val="28"/>
          <w:szCs w:val="28"/>
        </w:rPr>
        <w:t>ГБУ НСО «Геофонд НСО» выдало юридическим и физическим лицам на основании 4 465 заявлений 18 362 планшета (82 768 базовых единиц) и 1 546 пунктов опорной геодезической сети Новосибирской области.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1.1.3.1.1.4 «Организация проведения, участие в вы</w:t>
      </w:r>
      <w:r>
        <w:rPr>
          <w:b/>
          <w:sz w:val="28"/>
          <w:szCs w:val="28"/>
        </w:rPr>
        <w:t>ставочно-ярмарочных и конгрессных мероприятиях».</w:t>
      </w:r>
    </w:p>
    <w:p w:rsidR="00A77652" w:rsidRDefault="00E9514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Объем </w:t>
      </w:r>
      <w:r>
        <w:rPr>
          <w:sz w:val="28"/>
          <w:szCs w:val="28"/>
        </w:rPr>
        <w:t>средств областного бюджета</w:t>
      </w:r>
      <w:r>
        <w:rPr>
          <w:color w:val="000000" w:themeColor="text1"/>
          <w:sz w:val="28"/>
          <w:szCs w:val="28"/>
        </w:rPr>
        <w:t xml:space="preserve"> в соответствии с СБР составляет 6 334,8 тыс. рублей, фактическое финансирование из средств областного бюджета составило 6 334,7 тыс. рублей или 100,0 % от СБР. </w:t>
      </w:r>
    </w:p>
    <w:p w:rsidR="00A77652" w:rsidRDefault="00E95143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 2023 году было проведено три мероприятия:</w:t>
      </w:r>
    </w:p>
    <w:p w:rsidR="00A77652" w:rsidRDefault="00E9514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форум «Стратегии ускорения темпов строительства» в рамках мероприятий XII Международного форума-выставки «Сибирская строительная неделя – 2023», форум проведен с 14 по 16 февраля 2023 года;</w:t>
      </w:r>
    </w:p>
    <w:p w:rsidR="00A77652" w:rsidRDefault="00E95143">
      <w:pPr>
        <w:ind w:firstLine="709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- форум «Молодой специалист – строитель будущего» на базе </w:t>
      </w:r>
      <w:r>
        <w:rPr>
          <w:sz w:val="28"/>
          <w:szCs w:val="28"/>
        </w:rPr>
        <w:t>ФГБОУ ВО «НГАСУ (СИБСТРИН)» в период с 01 по 02 июня 2023 года. Организаторы форума: Минстрой России, Правительство Новосибирской области, ФАУ «РосКапСтрой», Кадровый центр Минстроя России, Центр ко</w:t>
      </w:r>
      <w:r>
        <w:rPr>
          <w:sz w:val="28"/>
          <w:szCs w:val="28"/>
        </w:rPr>
        <w:t>мпетенций образовательной деятельности Минстроя России, Публично-правовая компания «Военно-строительная компания». Проведен без привлечения бюджетных средств;</w:t>
      </w:r>
    </w:p>
    <w:p w:rsidR="00A77652" w:rsidRDefault="00E9514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>
        <w:rPr>
          <w:sz w:val="28"/>
          <w:szCs w:val="28"/>
        </w:rPr>
        <w:t>финальные очные мероприятия III Всероссийского конкурса управленцев «Лидеры строительной отрасл</w:t>
      </w:r>
      <w:r>
        <w:rPr>
          <w:sz w:val="28"/>
          <w:szCs w:val="28"/>
        </w:rPr>
        <w:t>и» проведены с 10 по 13 августа 2023. Место проведения: г. Новосибирск, ГАУК НСО «ГКЗ имени А.М. Каца». Организатор и оператор Конкурса – Всероссийский центр национальной строительной политики при поддержке Министерства строительства и жилищно-коммунальног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lastRenderedPageBreak/>
        <w:t>хозяйства Российской Федерации, Правительства Новосибирской области, а также профильных министерств и ведомств, отраслевых институтов, объединений и союзов. Проведен без привлечения бюджетных средств.</w:t>
      </w:r>
    </w:p>
    <w:p w:rsidR="00A77652" w:rsidRDefault="00A77652">
      <w:pPr>
        <w:ind w:firstLine="709"/>
        <w:jc w:val="center"/>
        <w:rPr>
          <w:b/>
          <w:sz w:val="28"/>
          <w:szCs w:val="28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«Земельные ре</w:t>
      </w:r>
      <w:r>
        <w:t>сурсы и инфраструктура»</w:t>
      </w:r>
    </w:p>
    <w:p w:rsidR="00A77652" w:rsidRDefault="00A77652">
      <w:pPr>
        <w:ind w:firstLine="709"/>
        <w:jc w:val="center"/>
        <w:rPr>
          <w:sz w:val="26"/>
          <w:szCs w:val="26"/>
        </w:rPr>
      </w:pP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по подпрограмме составляет 3 226 382,3 тыс. рублей. </w:t>
      </w:r>
      <w:r>
        <w:rPr>
          <w:i/>
          <w:sz w:val="28"/>
          <w:szCs w:val="28"/>
        </w:rPr>
        <w:t>(Справочно: федеральный бюджет- 45 394,0, МБ - 1 891,4 тыс. рублей).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Финансирование мероприятий по подпрограмме по итогам 202</w:t>
      </w:r>
      <w:r>
        <w:rPr>
          <w:sz w:val="28"/>
          <w:szCs w:val="28"/>
        </w:rPr>
        <w:t xml:space="preserve">3 года из средств областного бюджета составило 3 046 180,8 тыс. рублей </w:t>
      </w:r>
      <w:r>
        <w:rPr>
          <w:i/>
          <w:sz w:val="28"/>
          <w:szCs w:val="28"/>
        </w:rPr>
        <w:t>(Справочно: федеральный бюджет - 45 394,0, МБ - 1 891,4 тыс. рублей).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Процент исполнения областного бюджета составляет 94,41 %.</w:t>
      </w:r>
    </w:p>
    <w:p w:rsidR="00A77652" w:rsidRDefault="00E9514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Мероприятие 1.2.2.1.1.3 «Организация комплексного освоени</w:t>
      </w:r>
      <w:r>
        <w:rPr>
          <w:b/>
          <w:color w:val="000000"/>
          <w:sz w:val="28"/>
          <w:szCs w:val="28"/>
        </w:rPr>
        <w:t>я земельных участков в рамках деятельности АО «АРЖС НСО».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994 152,3 тыс. рублей.</w:t>
      </w:r>
      <w:r>
        <w:rPr>
          <w:color w:val="000000"/>
          <w:sz w:val="28"/>
          <w:szCs w:val="28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</w:rPr>
        <w:t>994 152,3 тыс. рублей</w:t>
      </w:r>
      <w:r>
        <w:rPr>
          <w:color w:val="000000"/>
          <w:sz w:val="28"/>
          <w:szCs w:val="28"/>
        </w:rPr>
        <w:t xml:space="preserve"> или 100 % </w:t>
      </w:r>
      <w:r>
        <w:rPr>
          <w:sz w:val="28"/>
          <w:szCs w:val="28"/>
        </w:rPr>
        <w:t>от СБР.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итогам 2023 года в целях реализации нового инвестиционного проекта «Территория поселка Клюквенный (ул. Подневича) в Калининском районе г. Новосибирска» АО «АРЖС НСО» заключены договоры: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инженерные изыскания, разработку проектной и рабочей документаци</w:t>
      </w:r>
      <w:r>
        <w:rPr>
          <w:sz w:val="28"/>
          <w:szCs w:val="28"/>
        </w:rPr>
        <w:t>и по объекту «Внутриквартальные автомобильные дороги микрорайона Клюквенный в Калининском районе г. Новосибирска». Прогнозный срок выполнения работ по договору – 2024 год;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 выполнение работ по инженерным изысканиям, проектированию и строительству объек</w:t>
      </w:r>
      <w:r>
        <w:rPr>
          <w:sz w:val="28"/>
          <w:szCs w:val="28"/>
        </w:rPr>
        <w:t>тов коммунальной и инженерной инфраструктур. Срок выполнения работ по договору – 2024 год.</w:t>
      </w:r>
    </w:p>
    <w:p w:rsidR="00A77652" w:rsidRDefault="00E9514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Мероприятие 1.2.2.1.1.4.</w:t>
      </w:r>
      <w:r>
        <w:rPr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«Организация комплексного освоения земельных участков в рамках новых инвестиционных проектов и инфраструктурных бюджетных кредитов».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285 000,0 тыс. рублей, </w:t>
      </w:r>
      <w:r>
        <w:rPr>
          <w:color w:val="000000"/>
          <w:sz w:val="28"/>
          <w:szCs w:val="28"/>
        </w:rPr>
        <w:t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285 000,0 тыс. рублей или 100% от СБР.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 году средства иного межбюджетного трансферта перечислен</w:t>
      </w:r>
      <w:r>
        <w:rPr>
          <w:color w:val="000000"/>
          <w:sz w:val="28"/>
          <w:szCs w:val="28"/>
        </w:rPr>
        <w:t>ы в г. Новосибирск на создание объектов коммунальной инфраструктуры в целях реализации новых инвестиционных проектов в микрорайоне «Чистая Слобода» в Ленинском районе города Новосибирска: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канализационный коллектор по ул. Невельского от ул. Каменогорской </w:t>
      </w:r>
      <w:r>
        <w:rPr>
          <w:color w:val="000000"/>
          <w:sz w:val="28"/>
          <w:szCs w:val="28"/>
        </w:rPr>
        <w:t>до ул. Колхидской – 170 000,0 тыс. рублей;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канализационный коллектор под железной дорогой в районе ул. Невельского – 115 000,0 тыс. рублей.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создания объектов – 2024 год.</w:t>
      </w:r>
    </w:p>
    <w:p w:rsidR="00A77652" w:rsidRDefault="00E95143">
      <w:pPr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Мероприятие 1.2.2.1.1.5</w:t>
      </w:r>
      <w:r>
        <w:rPr>
          <w:b/>
          <w:bCs/>
          <w:i/>
          <w:iCs/>
          <w:color w:val="000000"/>
          <w:sz w:val="28"/>
          <w:szCs w:val="28"/>
        </w:rPr>
        <w:t>. «Реализация инфраструктурного проекта «Создание объект</w:t>
      </w:r>
      <w:r>
        <w:rPr>
          <w:b/>
          <w:bCs/>
          <w:i/>
          <w:iCs/>
          <w:color w:val="000000"/>
          <w:sz w:val="28"/>
          <w:szCs w:val="28"/>
        </w:rPr>
        <w:t xml:space="preserve">ов инженерной, энергетической и коммунальной </w:t>
      </w:r>
      <w:r>
        <w:rPr>
          <w:b/>
          <w:bCs/>
          <w:i/>
          <w:iCs/>
          <w:color w:val="000000"/>
          <w:sz w:val="28"/>
          <w:szCs w:val="28"/>
        </w:rPr>
        <w:lastRenderedPageBreak/>
        <w:t>инфраструктуры в целях реализации жилищного строительства в п. Озерный Мочищенского сельсовета Новосибирской области» ООО «Специализированный застройщик «Антей»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</w:t>
      </w:r>
      <w:r>
        <w:rPr>
          <w:sz w:val="28"/>
          <w:szCs w:val="28"/>
        </w:rPr>
        <w:t>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1 633 230,0 тыс. рублей, </w:t>
      </w:r>
      <w:r>
        <w:rPr>
          <w:color w:val="000000"/>
          <w:sz w:val="28"/>
          <w:szCs w:val="28"/>
        </w:rPr>
        <w:t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1 453 028,5 тыс. рублей или 88,97 % от СБР.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инфраструктурного бюджетного кредита предоставлены в форме субсидии юридическому лицу на выполне</w:t>
      </w:r>
      <w:r>
        <w:rPr>
          <w:sz w:val="28"/>
          <w:szCs w:val="28"/>
        </w:rPr>
        <w:t>ние работ по технологическому присоединению к сетям теплоснабжения, водоотведения, водоснабжения и электроснабжения в рамках реализация инфраструктурного проекта «Создание объектов инженерной, энергетической и коммунальной инфраструктуры в целях реализации</w:t>
      </w:r>
      <w:r>
        <w:rPr>
          <w:sz w:val="28"/>
          <w:szCs w:val="28"/>
        </w:rPr>
        <w:t xml:space="preserve"> жилищного строительства в п. Озерный Мочищенского сельсовета Новосибирской области».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юридическому лицу предоставлена в объеме потребности в размере 1 453 028,5 тыс. рублей, размер которой одобрен президиумом (штабом) Правительственной комиссии по</w:t>
      </w:r>
      <w:r>
        <w:rPr>
          <w:sz w:val="28"/>
          <w:szCs w:val="28"/>
        </w:rPr>
        <w:t xml:space="preserve"> региональному развитию в Российской Федерации, в составе заявки Новосибирской области, направленной в сентябре 2023 года.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Одновременно, указанной заявкой Новосибирской области невостребованные в 2023 году по данному проекту средства инфраструктурного бюджетного кредита в размере 180 201,53 тыс. рублей перераспределены на реализацию иных инфраструктурных проектов в 2024 году.</w:t>
      </w:r>
    </w:p>
    <w:p w:rsidR="00A77652" w:rsidRDefault="00E95143">
      <w:pPr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 мероприятию 1.2.2.1.1.</w:t>
      </w:r>
      <w:r>
        <w:rPr>
          <w:b/>
          <w:bCs/>
          <w:i/>
          <w:iCs/>
          <w:color w:val="000000"/>
          <w:sz w:val="28"/>
          <w:szCs w:val="28"/>
        </w:rPr>
        <w:t>6. Реализация инфраструктурного проекта «Создание объекта коммунальной инфраструктуры в целях реализации строительства многоквартирных жилых домов с помещениями общественного назначения по ул. Зорге в г. Новосибирске» ООО «Специали</w:t>
      </w:r>
      <w:r>
        <w:rPr>
          <w:b/>
          <w:bCs/>
          <w:i/>
          <w:iCs/>
          <w:color w:val="000000"/>
          <w:sz w:val="28"/>
          <w:szCs w:val="28"/>
        </w:rPr>
        <w:t>зированный застройщик «Темпо»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314 000,0 тыс. рублей, </w:t>
      </w:r>
      <w:r>
        <w:rPr>
          <w:color w:val="000000"/>
          <w:sz w:val="28"/>
          <w:szCs w:val="28"/>
        </w:rPr>
        <w:t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314 000,0 тыс. рублей или 100 % от СБР.</w:t>
      </w:r>
    </w:p>
    <w:p w:rsidR="00A77652" w:rsidRDefault="00E95143">
      <w:pPr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Средства инфраструктурного бюдж</w:t>
      </w:r>
      <w:r>
        <w:rPr>
          <w:sz w:val="28"/>
          <w:szCs w:val="28"/>
        </w:rPr>
        <w:t xml:space="preserve">етного кредита в полном объеме предоставлены в форме субсидии юридическому лицу на выполнение работ по технологическому присоединению к сетям водоотведения в рамках реализация инфраструктурного проекта «Создание объекта коммунальной инфраструктуры в целях </w:t>
      </w:r>
      <w:r>
        <w:rPr>
          <w:sz w:val="28"/>
          <w:szCs w:val="28"/>
        </w:rPr>
        <w:t>реализации строительства многоквартирных жилых домов с помещениями общественного назначения по ул. Зорге в г. Новосибирске».</w:t>
      </w:r>
    </w:p>
    <w:p w:rsidR="00A77652" w:rsidRDefault="00A77652">
      <w:pPr>
        <w:jc w:val="both"/>
        <w:rPr>
          <w:sz w:val="28"/>
          <w:szCs w:val="28"/>
        </w:rPr>
      </w:pPr>
    </w:p>
    <w:p w:rsidR="00A77652" w:rsidRDefault="00E9514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Мероприятие 1.2.2.1.5.2. «Региональный проект «Жилье».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бюджетных ассигнований составил 47 285,4 тыс. рублей, из них федеальн</w:t>
      </w:r>
      <w:r>
        <w:rPr>
          <w:sz w:val="28"/>
          <w:szCs w:val="28"/>
        </w:rPr>
        <w:t>ыйбюджет - 45 394,0 тыс. рублей, МБ - 1 891,4 тыс. рублей, фактическое финансирование мероприятия составило 47 285,4 тыс. рублей, из них ФБ - 45 394,0 тыс. рублей, МБ - 1 891,4 тыс. рублей.</w:t>
      </w:r>
    </w:p>
    <w:p w:rsidR="00A77652" w:rsidRDefault="00E9514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Бюджетные ассигнования предусмотрены на строительство объекта капи</w:t>
      </w:r>
      <w:r>
        <w:rPr>
          <w:color w:val="000000" w:themeColor="text1"/>
          <w:sz w:val="28"/>
          <w:szCs w:val="28"/>
        </w:rPr>
        <w:t>тального строительства - «Строительство ливневого коллектора по ул. Порт-Артурская до очистных сооружений для обеспечения жилмассивов «Чистая Слобода» и «Ереснинский».</w:t>
      </w:r>
    </w:p>
    <w:p w:rsidR="00A77652" w:rsidRDefault="00E9514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Главным распорядителем бюджетных средств по объекту капитального строительства является министерство жилищно-коммунального хозяйства и энергетики Новосибирской области.</w:t>
      </w:r>
    </w:p>
    <w:p w:rsidR="00A77652" w:rsidRDefault="00E95143">
      <w:pPr>
        <w:ind w:firstLine="709"/>
        <w:jc w:val="both"/>
        <w:rPr>
          <w:color w:val="000000" w:themeColor="text1"/>
          <w:sz w:val="22"/>
        </w:rPr>
      </w:pPr>
      <w:r>
        <w:rPr>
          <w:color w:val="000000" w:themeColor="text1"/>
          <w:sz w:val="28"/>
          <w:szCs w:val="28"/>
        </w:rPr>
        <w:t>25.03.2022 на выполнение работ по строительству объекта муниципальным предприятием горо</w:t>
      </w:r>
      <w:r>
        <w:rPr>
          <w:color w:val="000000" w:themeColor="text1"/>
          <w:sz w:val="28"/>
          <w:szCs w:val="28"/>
        </w:rPr>
        <w:t xml:space="preserve">да Новосибирска «Модернизация и развитие транспортной инфраструктуры» (МП «Метро МиР») заключен муниципальный контракт № 17МК с ООО «СИБСТРОЙПРОЕКТ». </w:t>
      </w:r>
    </w:p>
    <w:p w:rsidR="00A77652" w:rsidRDefault="00E9514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Цена контракта – 141 558,45 тыс. рублей. Срок выполнения работ по контракту 31.07.2023. 25.07.2023 заключ</w:t>
      </w:r>
      <w:r>
        <w:rPr>
          <w:color w:val="000000" w:themeColor="text1"/>
          <w:sz w:val="28"/>
          <w:szCs w:val="28"/>
        </w:rPr>
        <w:t>ено дополнительное соглашение к контракту о продлении срока выполнения работ до 31.10.2023.</w:t>
      </w:r>
    </w:p>
    <w:p w:rsidR="00A77652" w:rsidRDefault="00E95143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соглашением готовность объекта на конец 2023 года – 80%. </w:t>
      </w:r>
      <w:r>
        <w:rPr>
          <w:b/>
          <w:bCs/>
          <w:color w:val="000000" w:themeColor="text1"/>
          <w:sz w:val="28"/>
          <w:szCs w:val="28"/>
        </w:rPr>
        <w:t>Техническая готовность объекта – 84,04 %.</w:t>
      </w:r>
    </w:p>
    <w:p w:rsidR="00A77652" w:rsidRDefault="00E95143">
      <w:pPr>
        <w:ind w:firstLine="709"/>
        <w:jc w:val="both"/>
        <w:rPr>
          <w:bCs/>
          <w:color w:val="000000" w:themeColor="text1"/>
        </w:rPr>
      </w:pPr>
      <w:r>
        <w:rPr>
          <w:color w:val="000000" w:themeColor="text1"/>
          <w:sz w:val="28"/>
          <w:szCs w:val="28"/>
        </w:rPr>
        <w:t>Подтвержденная ФБУ «Росстройконтроль» строительн</w:t>
      </w:r>
      <w:r>
        <w:rPr>
          <w:color w:val="000000" w:themeColor="text1"/>
          <w:sz w:val="28"/>
          <w:szCs w:val="28"/>
        </w:rPr>
        <w:t>ая готовность объекта на 31.12.2023 – 64 %.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По информации ФБУ «Росстройконтроль» выполнены следующие виды работ: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Крепление стен котлована. рытье траншей. водопонижение - 100 % от объема 4-8 захваток.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 xml:space="preserve">Укладка трубы с обратной засыпкой песком - </w:t>
      </w:r>
      <w:r>
        <w:rPr>
          <w:color w:val="000000" w:themeColor="text1"/>
          <w:sz w:val="28"/>
          <w:szCs w:val="28"/>
        </w:rPr>
        <w:t>363 п.м.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Обра</w:t>
      </w:r>
      <w:r>
        <w:rPr>
          <w:color w:val="000000" w:themeColor="text1"/>
          <w:sz w:val="28"/>
          <w:szCs w:val="28"/>
        </w:rPr>
        <w:t>тная засыпка - 36%.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Крепление стен котлована, рытье траншей, водопонижение - 20 % от объема 3 захватки.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Устройство монолитных камер - 15 %.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Устройство сборных колодцев - 34 %.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Устройство металлического футляра - 47 п.м.</w:t>
      </w:r>
    </w:p>
    <w:p w:rsidR="00A77652" w:rsidRDefault="00E9514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 w:val="28"/>
          <w:szCs w:val="28"/>
        </w:rPr>
        <w:t>Протаскивание труб в футляр - 39 м.</w:t>
      </w:r>
    </w:p>
    <w:p w:rsidR="00A77652" w:rsidRDefault="00E95143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Устройство котлованов - 25 %.</w:t>
      </w:r>
    </w:p>
    <w:p w:rsidR="00A77652" w:rsidRDefault="00A77652">
      <w:pPr>
        <w:jc w:val="both"/>
        <w:rPr>
          <w:color w:val="000000"/>
          <w:sz w:val="28"/>
          <w:szCs w:val="28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поддержка при завершении строительства «проблемных» жилых домов»</w:t>
      </w:r>
    </w:p>
    <w:p w:rsidR="00A77652" w:rsidRDefault="00A77652">
      <w:pPr>
        <w:pStyle w:val="26"/>
        <w:tabs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по подпрограмме составляет 184 792,7 тыс. рублей. </w:t>
      </w:r>
      <w:r>
        <w:rPr>
          <w:i/>
          <w:sz w:val="28"/>
          <w:szCs w:val="28"/>
        </w:rPr>
        <w:t>(Справочно: МБ - 9 484,0 тыс. рублей).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Финансирование мероприятий по подпрограмме по итогам 2023 года из средств областного бюджета составило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164 113,0 тыс. рублей </w:t>
      </w:r>
      <w:r>
        <w:rPr>
          <w:i/>
          <w:sz w:val="28"/>
          <w:szCs w:val="28"/>
        </w:rPr>
        <w:t>(Справочно: МБ - 8 445,3 тыс. рублей).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 исполнения средств областного бюджета составляет 88,81 %.</w:t>
      </w:r>
    </w:p>
    <w:p w:rsidR="00A77652" w:rsidRDefault="00E9514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Мероприятие 1.2.3.1.1.1 «Покрытие части расходов муниципальных образований Новосибирской области на оплату по договорам технологи</w:t>
      </w:r>
      <w:r>
        <w:rPr>
          <w:rFonts w:ascii="Times New Roman" w:hAnsi="Times New Roman" w:cs="Times New Roman"/>
          <w:b/>
          <w:sz w:val="28"/>
          <w:szCs w:val="28"/>
        </w:rPr>
        <w:t>ческого присоединения к сетям электро-, тепло-, водоснабжения и водоотведения в целях решения вопросов завершения строительства и ввода в эксплуатацию объектов жилищного строительства, по которым застройщиком по истечении шести месяцев со дня, установленно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договором об участии в строительстве многоквартирного дома, не исполнены обязательства по вводу многоквартирного дома в эксплуатацию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 передаче гражданам жилых помещений» 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составляет 180 192,7 тыс. р</w:t>
      </w:r>
      <w:r>
        <w:rPr>
          <w:sz w:val="28"/>
          <w:szCs w:val="28"/>
        </w:rPr>
        <w:t>ублей</w:t>
      </w:r>
      <w:r>
        <w:rPr>
          <w:i/>
          <w:sz w:val="28"/>
          <w:szCs w:val="28"/>
        </w:rPr>
        <w:t xml:space="preserve"> (Справочно: МБ - 9 484,0 тыс. рублей), </w:t>
      </w:r>
      <w:r>
        <w:rPr>
          <w:color w:val="000000"/>
          <w:sz w:val="28"/>
          <w:szCs w:val="28"/>
        </w:rPr>
        <w:t xml:space="preserve">фактическое финансирование </w:t>
      </w:r>
      <w:r>
        <w:rPr>
          <w:sz w:val="28"/>
          <w:szCs w:val="28"/>
        </w:rPr>
        <w:t xml:space="preserve">из средств областного бюджета составило 160 459,6 тыс. рублей или или89,05 % от СБР </w:t>
      </w:r>
      <w:r>
        <w:rPr>
          <w:i/>
          <w:sz w:val="28"/>
          <w:szCs w:val="28"/>
        </w:rPr>
        <w:t>(Справочно: МБ - 8 445,3 тыс. рублей)</w:t>
      </w:r>
      <w:r>
        <w:rPr>
          <w:sz w:val="28"/>
          <w:szCs w:val="28"/>
        </w:rPr>
        <w:t>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осуществлено в соответствии с предоставленной </w:t>
      </w:r>
      <w:r>
        <w:rPr>
          <w:sz w:val="28"/>
          <w:szCs w:val="28"/>
        </w:rPr>
        <w:t>мэрией г. Новосибирска заявкой на оплату выполненных работ.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направлены на следующие жилые дома: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ул. Есенина, 12/1 – 3 647,4 тыс. рублей на технологическое присоединение к сетям теплоснабжения, электроснабжения, водоснабжения </w:t>
      </w:r>
      <w:r>
        <w:rPr>
          <w:sz w:val="28"/>
          <w:szCs w:val="28"/>
        </w:rPr>
        <w:t>и водоотведения; 16 639,3 тыс. рублей на лифты, 21 951,9 тыс. рублей на благоустройство (введен в эксплуатацию в 2023 году);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ул. Галущака, 15 – 670,8 тыс. рублей на технологическое присоединение к сетям электроснабжения (введен в эксплуатацию в 2023 год</w:t>
      </w:r>
      <w:r>
        <w:rPr>
          <w:sz w:val="28"/>
          <w:szCs w:val="28"/>
        </w:rPr>
        <w:t>у);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ул. Волховская, 37 – 7 481,3 тыс. рублей – на технологическое присоединение к сетям электроснабжения, водоснабжения и водоотведения; 31 061,6 тыс. рублей на лифты (введен в эксплуатацию в 2023 году);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ул. Дуси Ковальчук, 378/1 – 6 396,3 тыс. рубле</w:t>
      </w:r>
      <w:r>
        <w:rPr>
          <w:sz w:val="28"/>
          <w:szCs w:val="28"/>
        </w:rPr>
        <w:t>й на технологическое присоединение к сетям водоснабжения и водоотведения, 15 106,8 тыс. рублей на благоустройство; 18 806,3 тыс. рублей на лифты (ввод в эксплуатацию запланирован на 1 квартал 2024 года).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ул. Есенина, 67 - 10 504,0 тыс. рублей на благоус</w:t>
      </w:r>
      <w:r>
        <w:rPr>
          <w:sz w:val="28"/>
          <w:szCs w:val="28"/>
        </w:rPr>
        <w:t>тройство; 19 679,3 тыс. рублей на лифты (ввод в эксплуатацию запланирован на 2 квартал 2024 года).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мкр. Закаменский, 16 - 19 960,0 тыс. рублей на лифты (ввод в эксплуатацию запланирован на 1 квартал 2024 года).</w:t>
      </w:r>
    </w:p>
    <w:p w:rsidR="00A77652" w:rsidRDefault="00E95143">
      <w:pPr>
        <w:pStyle w:val="af9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Мероприятие 1.2.3.1.2.1. «Государственная </w:t>
      </w:r>
      <w:r>
        <w:rPr>
          <w:b/>
          <w:sz w:val="28"/>
          <w:szCs w:val="28"/>
        </w:rPr>
        <w:t>поддержка граждан, пострадавших от недобросовестных застройщиков».</w:t>
      </w:r>
    </w:p>
    <w:p w:rsidR="00A77652" w:rsidRDefault="00E95143">
      <w:pPr>
        <w:pStyle w:val="af9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4 600,0 тыс. рублей</w:t>
      </w:r>
      <w:r>
        <w:rPr>
          <w:color w:val="000000"/>
          <w:sz w:val="28"/>
          <w:szCs w:val="28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</w:rPr>
        <w:t>3 653,4 тыс. рублей.</w:t>
      </w:r>
      <w:r>
        <w:rPr>
          <w:color w:val="000000"/>
          <w:sz w:val="28"/>
          <w:szCs w:val="28"/>
        </w:rPr>
        <w:t xml:space="preserve"> или 79,42 % от </w:t>
      </w:r>
      <w:r>
        <w:rPr>
          <w:color w:val="000000"/>
          <w:sz w:val="28"/>
          <w:szCs w:val="28"/>
        </w:rPr>
        <w:t>СБР.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Низкий процент исполнения областного бюджета связан с заявительным характером предоставления. Субсидия предоставляется гражданину для полной либо частичной оплаты его доли дополнительных расходов, необходимых для завершения строительства многоквартирн</w:t>
      </w:r>
      <w:r>
        <w:rPr>
          <w:color w:val="000000"/>
          <w:sz w:val="28"/>
          <w:szCs w:val="28"/>
        </w:rPr>
        <w:t>ого дома, в размере не более 200 000 рублей. По итогам 2023 года субсидия предоставлена 20 гражданам.</w:t>
      </w:r>
    </w:p>
    <w:p w:rsidR="00A77652" w:rsidRDefault="00E95143">
      <w:pPr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Мероприятие 1.2.3.1.3.1. «Проведение мониторинга объектов жилищного строительства, по которым застройщиком не исполнены обязательства по вводу в эксплуата</w:t>
      </w:r>
      <w:r>
        <w:rPr>
          <w:b/>
          <w:sz w:val="28"/>
          <w:szCs w:val="26"/>
        </w:rPr>
        <w:t xml:space="preserve">цию многоквартирного дома в соответствии с условиями договора участия в долевом строительстве» 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Минстроем НСО проведен мониторинг объектов жилищного строительства на основании представленной отчетности застройщиков и по информации инспекции государственног</w:t>
      </w:r>
      <w:r>
        <w:rPr>
          <w:sz w:val="28"/>
          <w:szCs w:val="28"/>
        </w:rPr>
        <w:t>о строительного надзора Новосибирской области о приостановленных строительством объектах. Мониторинг проводится в отношении 14 объектов, которые утверждены Планом-графиком («Дорожная карта») по осуществлению мер по решению проблем граждан, включенных в рее</w:t>
      </w:r>
      <w:r>
        <w:rPr>
          <w:sz w:val="28"/>
          <w:szCs w:val="28"/>
        </w:rPr>
        <w:t xml:space="preserve">стр граждан, чьи денежные средства привлечены для строительства </w:t>
      </w:r>
      <w:r>
        <w:rPr>
          <w:sz w:val="28"/>
          <w:szCs w:val="28"/>
        </w:rPr>
        <w:lastRenderedPageBreak/>
        <w:t>многоквартирного дома и чьи права были нарушены на территории Новосибирской области.</w:t>
      </w:r>
    </w:p>
    <w:p w:rsidR="00A77652" w:rsidRDefault="00E95143">
      <w:pPr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Мероприятие 1.2.3.1.3.3. «Проведение консультационной работы с гражданами».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гражданам </w:t>
      </w:r>
      <w:r>
        <w:rPr>
          <w:sz w:val="28"/>
          <w:szCs w:val="28"/>
        </w:rPr>
        <w:t>оказано 3 167 устных консультаций по вопросам долевого строительства. При оказании консультаций гражданам разъяснялись нормы законодательства о долевом строительстве, а также действия, которые необходимо предпринять для защиты их прав и законных интересов.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данного мероприятия за счет средств областного бюджета Новосибирской области не предусмотрено. Мониторинг осуществляется в рамках текущей деятельности Минстроя НСО.</w:t>
      </w:r>
    </w:p>
    <w:p w:rsidR="00A77652" w:rsidRDefault="00A77652">
      <w:pPr>
        <w:ind w:firstLine="709"/>
        <w:jc w:val="both"/>
        <w:rPr>
          <w:sz w:val="28"/>
          <w:szCs w:val="28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поддержка граждан при приобретении (строительстве) жилья и стимулирование развития ипотечного кредитования»</w:t>
      </w:r>
    </w:p>
    <w:p w:rsidR="00A77652" w:rsidRDefault="00A77652">
      <w:pPr>
        <w:ind w:firstLine="709"/>
        <w:jc w:val="center"/>
        <w:rPr>
          <w:sz w:val="28"/>
          <w:szCs w:val="28"/>
        </w:rPr>
      </w:pP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по подпрограмме составляет 6 753,5 тыс. рублей средств областного бюджета.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актическое финансирование составило </w:t>
      </w:r>
      <w:r>
        <w:rPr>
          <w:sz w:val="28"/>
          <w:szCs w:val="28"/>
        </w:rPr>
        <w:t>0,0 тыс. рублей из средств областного бюджета.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 исполнения средств областного бюджета составляет 0,0 % от СБР.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1.3.1.1.1.1. «Государственная поддержка отдельных категорий граждан на оплату жилых помеще</w:t>
      </w:r>
      <w:r>
        <w:rPr>
          <w:b/>
          <w:sz w:val="28"/>
          <w:szCs w:val="28"/>
        </w:rPr>
        <w:t>ний»</w:t>
      </w:r>
    </w:p>
    <w:p w:rsidR="00A77652" w:rsidRDefault="00E95143">
      <w:pPr>
        <w:pStyle w:val="af9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5 825,0 тыс. рублей</w:t>
      </w:r>
      <w:r>
        <w:rPr>
          <w:color w:val="000000"/>
          <w:sz w:val="28"/>
          <w:szCs w:val="28"/>
        </w:rPr>
        <w:t>, фактическое финансирование из средств областного бюджета составило 0,0 тыс. рублей или 0,0 % от СБР.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субсидии носит заявительный характер, по итогам 2</w:t>
      </w:r>
      <w:r>
        <w:rPr>
          <w:color w:val="000000"/>
          <w:sz w:val="28"/>
          <w:szCs w:val="28"/>
        </w:rPr>
        <w:t>023 года субсидия никому не предоставлена.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1.3.1.1.2.1. «Разработка и реализация пилотных проектов в сфере ипотечного кредитования, а также программ, имеющих социальную направленность и призванных удовлетворить потребности в жилье отдельных кат</w:t>
      </w:r>
      <w:r>
        <w:rPr>
          <w:b/>
          <w:sz w:val="28"/>
          <w:szCs w:val="28"/>
        </w:rPr>
        <w:t>егорий граждан с применением механизмов ипотечного кредитования».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Новые программы АО «НОАИК» не разрабатывались.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Мероприятие 1.3.1.1.2.3. «Государственная поддержка работников бюджетной сферы на оплату первоначального взноса по ипотечным жилищным кредитам </w:t>
      </w:r>
      <w:r>
        <w:rPr>
          <w:b/>
          <w:sz w:val="28"/>
          <w:szCs w:val="28"/>
        </w:rPr>
        <w:t>(займам)».</w:t>
      </w:r>
    </w:p>
    <w:p w:rsidR="00A77652" w:rsidRDefault="00E95143">
      <w:pPr>
        <w:pStyle w:val="af9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составляет</w:t>
      </w:r>
      <w:r>
        <w:rPr>
          <w:color w:val="000000"/>
          <w:sz w:val="28"/>
          <w:szCs w:val="28"/>
        </w:rPr>
        <w:t xml:space="preserve"> 928,0 тыс. рублей, фактическое финансирование из средств областного бюджета составило 0,0 тыс. рублей </w:t>
      </w:r>
      <w:r>
        <w:rPr>
          <w:sz w:val="28"/>
          <w:szCs w:val="28"/>
        </w:rPr>
        <w:t>или 0,0 % от СБР.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предоставляется в соответствии с постановлением Пра</w:t>
      </w:r>
      <w:r>
        <w:rPr>
          <w:sz w:val="28"/>
          <w:szCs w:val="28"/>
        </w:rPr>
        <w:t xml:space="preserve">вительства Новосибирской области от 06.08.2012 № 368-п «О предоставлении субсидий отдельным категориям работников бюджетной сферы при ипотечном жилищном кредитовании», в рамках которого отдельные категории работников бюджетной сферы, являющиеся гражданами </w:t>
      </w:r>
      <w:r>
        <w:rPr>
          <w:sz w:val="28"/>
          <w:szCs w:val="28"/>
        </w:rPr>
        <w:t xml:space="preserve">Российской Федерации, проживающие на территории Новосибирской области, в возрасте до 35 лет, нуждающиеся в </w:t>
      </w:r>
      <w:r>
        <w:rPr>
          <w:sz w:val="28"/>
          <w:szCs w:val="28"/>
        </w:rPr>
        <w:lastRenderedPageBreak/>
        <w:t>улучшении жилищных условий, при ипотечном жилищном кредитовании имеют право на субсидии на оплату первоначального взноса по ипотечному жилищному кред</w:t>
      </w:r>
      <w:r>
        <w:rPr>
          <w:sz w:val="28"/>
          <w:szCs w:val="28"/>
        </w:rPr>
        <w:t>иту (займу) в размере до 150 000 рублей включительно.</w:t>
      </w: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субсидии носит заявительный характер, по итогам 2023 года заявлений от работников бюджетной сферы в Минстрой НСО не поступало.</w:t>
      </w:r>
    </w:p>
    <w:p w:rsidR="00A77652" w:rsidRDefault="00A77652">
      <w:pPr>
        <w:ind w:firstLine="709"/>
        <w:jc w:val="center"/>
        <w:rPr>
          <w:b/>
          <w:bCs/>
          <w:sz w:val="28"/>
          <w:szCs w:val="28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</w:t>
      </w:r>
      <w:r>
        <w:t>держка муниципальных образований Новосибирской области в обеспечении жилыми помещениями многодетных малообеспеченных семей»</w:t>
      </w:r>
    </w:p>
    <w:p w:rsidR="00A77652" w:rsidRDefault="00A77652">
      <w:pPr>
        <w:ind w:firstLine="720"/>
        <w:jc w:val="center"/>
        <w:rPr>
          <w:color w:val="000000"/>
          <w:sz w:val="28"/>
          <w:szCs w:val="28"/>
        </w:rPr>
      </w:pP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вышеуказанной подпрограммы реализуется одно мероприятие, объемы финансирования, а также процент исполнения областного бюдж</w:t>
      </w:r>
      <w:r>
        <w:rPr>
          <w:color w:val="000000"/>
          <w:sz w:val="28"/>
          <w:szCs w:val="28"/>
        </w:rPr>
        <w:t>ета будет приведен ниже.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1.3.2.1.1.1. «Содействие муниципальным районам и городским округам Новосибирской области в обеспечении жилыми помещениями многодетных малообеспеченных семей по договорам социального найма».</w:t>
      </w:r>
    </w:p>
    <w:p w:rsidR="00A77652" w:rsidRDefault="00E95143">
      <w:pPr>
        <w:pStyle w:val="af9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Объем средств областного бюдж</w:t>
      </w:r>
      <w:r>
        <w:rPr>
          <w:sz w:val="28"/>
          <w:szCs w:val="28"/>
        </w:rPr>
        <w:t>ета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44 500,0 тыс. рублей</w:t>
      </w:r>
      <w:r>
        <w:rPr>
          <w:i/>
          <w:sz w:val="28"/>
          <w:szCs w:val="28"/>
        </w:rPr>
        <w:t xml:space="preserve"> (Справочно: МБ - 2 342,1 тыс. рублей).</w:t>
      </w:r>
      <w:r>
        <w:rPr>
          <w:color w:val="000000"/>
          <w:sz w:val="28"/>
          <w:szCs w:val="28"/>
        </w:rPr>
        <w:t xml:space="preserve">, фактическое финансирование из средств областного бюджета составило </w:t>
      </w:r>
      <w:r>
        <w:rPr>
          <w:sz w:val="28"/>
          <w:szCs w:val="28"/>
        </w:rPr>
        <w:t>34 287,6 тыс. рублей или 77,06 %от СБР</w:t>
      </w:r>
      <w:r>
        <w:rPr>
          <w:i/>
          <w:sz w:val="28"/>
          <w:szCs w:val="28"/>
        </w:rPr>
        <w:t>(Справочно: МБ - 1 804,6 тыс. рублей)</w:t>
      </w:r>
      <w:r>
        <w:rPr>
          <w:sz w:val="28"/>
          <w:szCs w:val="28"/>
        </w:rPr>
        <w:t>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2023 </w:t>
      </w:r>
      <w:r>
        <w:rPr>
          <w:sz w:val="28"/>
          <w:szCs w:val="28"/>
        </w:rPr>
        <w:t>года приобретено жилье для 7 многодетных малообеспеченных семей, Недостижение количественного показателя и неосвоение бюджетных ассигнований связано с экономией, образовавшейся в результате проведения процедуры торгов, а также с расторжением контракта в Мо</w:t>
      </w:r>
      <w:r>
        <w:rPr>
          <w:sz w:val="28"/>
          <w:szCs w:val="28"/>
        </w:rPr>
        <w:t>шковском районе.</w:t>
      </w:r>
    </w:p>
    <w:p w:rsidR="00A77652" w:rsidRDefault="00A77652">
      <w:pPr>
        <w:ind w:firstLine="709"/>
        <w:jc w:val="center"/>
        <w:rPr>
          <w:sz w:val="28"/>
          <w:szCs w:val="28"/>
        </w:rPr>
      </w:pPr>
    </w:p>
    <w:p w:rsidR="00A77652" w:rsidRDefault="00E95143">
      <w:pPr>
        <w:pStyle w:val="aff1"/>
      </w:pPr>
      <w:r>
        <w:t>Подпрограмма государственной программы</w:t>
      </w:r>
    </w:p>
    <w:p w:rsidR="00A77652" w:rsidRDefault="00E95143">
      <w:pPr>
        <w:pStyle w:val="aff1"/>
      </w:pPr>
      <w:r>
        <w:t>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</w:t>
      </w:r>
    </w:p>
    <w:p w:rsidR="00A77652" w:rsidRDefault="00A77652">
      <w:pPr>
        <w:pStyle w:val="aff1"/>
      </w:pP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вышеуказанной подпрограммы реализуется одно финансовое мероприятие, объемы финансирования, а также процент исполнения областного бюджета будет приведен ниже.</w:t>
      </w: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1.3.3.1.1.1. «Содействие бюджетам муниципальных районов и городских округов Н</w:t>
      </w:r>
      <w:r>
        <w:rPr>
          <w:b/>
          <w:sz w:val="28"/>
          <w:szCs w:val="28"/>
        </w:rPr>
        <w:t>овосибирской области на 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769 250,0 тыс. рублей</w:t>
      </w:r>
      <w:r>
        <w:rPr>
          <w:i/>
          <w:sz w:val="28"/>
          <w:szCs w:val="28"/>
        </w:rPr>
        <w:t xml:space="preserve"> (Справочно: МБ - 40 486,8 тыс. рублей)</w:t>
      </w:r>
      <w:r>
        <w:rPr>
          <w:sz w:val="28"/>
          <w:szCs w:val="28"/>
        </w:rPr>
        <w:t xml:space="preserve">, фактическое финансирование из средств областного бюджета составило 470 681,9 тыс. рублей или 61,19 % от СБР </w:t>
      </w:r>
      <w:r>
        <w:rPr>
          <w:i/>
          <w:sz w:val="28"/>
          <w:szCs w:val="28"/>
        </w:rPr>
        <w:t>(Справочно: МБ - 24 772,7 тыс. р</w:t>
      </w:r>
      <w:r>
        <w:rPr>
          <w:i/>
          <w:sz w:val="28"/>
          <w:szCs w:val="28"/>
        </w:rPr>
        <w:t>ублей)</w:t>
      </w:r>
      <w:r>
        <w:rPr>
          <w:sz w:val="28"/>
          <w:szCs w:val="28"/>
        </w:rPr>
        <w:t xml:space="preserve">. 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Плановое значение количественного индикатора 156 жилых помещений. В 2023 году введено в эксплуатацию 109 жилых помещений и приобретено 22 жилых помещения.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25 квартир перенесено на 2024 год.</w:t>
      </w:r>
    </w:p>
    <w:p w:rsidR="00A77652" w:rsidRDefault="00A77652">
      <w:pPr>
        <w:ind w:firstLine="709"/>
        <w:jc w:val="both"/>
        <w:rPr>
          <w:i/>
          <w:sz w:val="28"/>
          <w:szCs w:val="28"/>
        </w:rPr>
      </w:pPr>
    </w:p>
    <w:p w:rsidR="00A77652" w:rsidRDefault="00E9514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Мероприятие 1.3.3.1.1.2. «Проведение монит</w:t>
      </w:r>
      <w:r>
        <w:rPr>
          <w:b/>
          <w:sz w:val="28"/>
          <w:szCs w:val="28"/>
        </w:rPr>
        <w:t>оринга в целях определения потребности в служебном жилье».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</w:t>
      </w:r>
      <w:r>
        <w:rPr>
          <w:sz w:val="28"/>
          <w:szCs w:val="28"/>
        </w:rPr>
        <w:t>огам 2023 го</w:t>
      </w:r>
      <w:r>
        <w:rPr>
          <w:sz w:val="28"/>
          <w:szCs w:val="28"/>
        </w:rPr>
        <w:t>да проведен мониторинг в 35 муниципальных образованиях в целях определения потребности в служебном жилье.</w:t>
      </w:r>
    </w:p>
    <w:p w:rsidR="00A77652" w:rsidRDefault="00E9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осуществляется в рамках текущей деятельности Минстроя НСО.</w:t>
      </w:r>
    </w:p>
    <w:p w:rsidR="00A77652" w:rsidRDefault="00A77652">
      <w:pPr>
        <w:ind w:firstLine="709"/>
        <w:jc w:val="both"/>
        <w:rPr>
          <w:sz w:val="28"/>
          <w:szCs w:val="28"/>
        </w:rPr>
      </w:pPr>
    </w:p>
    <w:p w:rsidR="00A77652" w:rsidRDefault="00E95143">
      <w:pPr>
        <w:pStyle w:val="aff1"/>
      </w:pPr>
      <w:r>
        <w:t>Под</w:t>
      </w:r>
      <w:r>
        <w:t>программа государственной программы</w:t>
      </w:r>
    </w:p>
    <w:p w:rsidR="00A77652" w:rsidRDefault="00E95143">
      <w:pPr>
        <w:pStyle w:val="aff1"/>
      </w:pPr>
      <w:r>
        <w:t>«Государственная поддержка муниципальных образований Новосибирской области при строительстве специализированного жилищного фонда»</w:t>
      </w:r>
    </w:p>
    <w:p w:rsidR="00A77652" w:rsidRDefault="00A77652">
      <w:pPr>
        <w:ind w:firstLine="720"/>
        <w:jc w:val="center"/>
        <w:rPr>
          <w:b/>
          <w:i/>
          <w:color w:val="000000"/>
          <w:sz w:val="28"/>
          <w:szCs w:val="28"/>
        </w:rPr>
      </w:pPr>
    </w:p>
    <w:p w:rsidR="00A77652" w:rsidRDefault="00E95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вышеуказанной подпрограммы реализуется одно мероприятие, объемы финансирования, </w:t>
      </w:r>
      <w:r>
        <w:rPr>
          <w:color w:val="000000"/>
          <w:sz w:val="28"/>
          <w:szCs w:val="28"/>
        </w:rPr>
        <w:t>а также процент исполнения областного бюджета будет приведен ниже.</w:t>
      </w:r>
    </w:p>
    <w:p w:rsidR="00A77652" w:rsidRDefault="00E95143">
      <w:pPr>
        <w:ind w:firstLine="709"/>
        <w:jc w:val="both"/>
        <w:rPr>
          <w:b/>
          <w:sz w:val="28"/>
          <w:szCs w:val="26"/>
        </w:rPr>
      </w:pPr>
      <w:r>
        <w:rPr>
          <w:b/>
          <w:sz w:val="28"/>
          <w:szCs w:val="28"/>
        </w:rPr>
        <w:t>Мероприятие</w:t>
      </w:r>
      <w:r>
        <w:rPr>
          <w:b/>
          <w:sz w:val="28"/>
          <w:szCs w:val="26"/>
        </w:rPr>
        <w:t xml:space="preserve"> 1.3.4.1.1.1. «Содействие муниципальным районам и городским округам Новосибирской области в оплате расходов, связанных со строительством специализированного жилищного фонда для п</w:t>
      </w:r>
      <w:r>
        <w:rPr>
          <w:b/>
          <w:sz w:val="28"/>
          <w:szCs w:val="26"/>
        </w:rPr>
        <w:t>редоставления отдельным категориям граждан».</w:t>
      </w:r>
    </w:p>
    <w:p w:rsidR="00A77652" w:rsidRDefault="00E9514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Объем средств областного бюджета в соответствии с СБР 297 526,4 тыс. рублей</w:t>
      </w:r>
      <w:r>
        <w:rPr>
          <w:i/>
          <w:sz w:val="28"/>
          <w:szCs w:val="28"/>
        </w:rPr>
        <w:t xml:space="preserve"> (Справочно: МБ - 15 659,3 тыс. рублей)</w:t>
      </w:r>
      <w:r>
        <w:rPr>
          <w:sz w:val="28"/>
          <w:szCs w:val="28"/>
        </w:rPr>
        <w:t xml:space="preserve">, фактическое финансирование из средств областного бюджета составило 160 346,7 тыс. рублей </w:t>
      </w:r>
      <w:r>
        <w:rPr>
          <w:i/>
          <w:sz w:val="28"/>
          <w:szCs w:val="28"/>
        </w:rPr>
        <w:t>или 53</w:t>
      </w:r>
      <w:r>
        <w:rPr>
          <w:i/>
          <w:sz w:val="28"/>
          <w:szCs w:val="28"/>
        </w:rPr>
        <w:t>,89 % от СБР (Справочно: МБ - 8 439,3 тыс. рублей)</w:t>
      </w:r>
      <w:r>
        <w:rPr>
          <w:sz w:val="28"/>
          <w:szCs w:val="28"/>
        </w:rPr>
        <w:t>.</w:t>
      </w:r>
    </w:p>
    <w:p w:rsidR="00A77652" w:rsidRDefault="00E9514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Субсидия предоставляется Минстроем НСО на оплату расходов местных бюджетов, связанных со строительством специализированного жилищного фонда, так фактическое значение показателя в 2023 году – 286 жилых пом</w:t>
      </w:r>
      <w:r>
        <w:rPr>
          <w:sz w:val="28"/>
          <w:szCs w:val="26"/>
        </w:rPr>
        <w:t>ещений для детей-сирот и служебного жилья.</w:t>
      </w:r>
    </w:p>
    <w:p w:rsidR="00A77652" w:rsidRDefault="00E9514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Недостижение количественного показателя (531 жилое помещение), а также неосвоение средств областного бюджета связано с уменьшением в течение 2023 года количества жилых помещений, подлежащих вводу в эксплуатацию в </w:t>
      </w:r>
      <w:r>
        <w:rPr>
          <w:sz w:val="28"/>
          <w:szCs w:val="26"/>
        </w:rPr>
        <w:t>2023 году в связи с переносом срока ввода на последующие годы и в связи с перераспределением средств областного бюджета со строительства жилья для детей-сирот на приобретение с Минстроя НСО на министерство труда и социального развития Новосибирской области</w:t>
      </w:r>
      <w:r>
        <w:rPr>
          <w:sz w:val="28"/>
          <w:szCs w:val="26"/>
        </w:rPr>
        <w:t>.</w:t>
      </w:r>
    </w:p>
    <w:p w:rsidR="00A77652" w:rsidRDefault="00E9514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4. Результаты использования бюджетных ассигнований</w:t>
      </w:r>
    </w:p>
    <w:p w:rsidR="00A77652" w:rsidRDefault="00E9514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областного бюджета Новосибирской области и иных средств</w:t>
      </w:r>
      <w:bookmarkStart w:id="1" w:name="_GoBack"/>
      <w:bookmarkEnd w:id="1"/>
    </w:p>
    <w:p w:rsidR="00A77652" w:rsidRDefault="00E9514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мероприятий государственной программы</w:t>
      </w:r>
    </w:p>
    <w:tbl>
      <w:tblPr>
        <w:tblW w:w="10739" w:type="dxa"/>
        <w:tblInd w:w="-601" w:type="dxa"/>
        <w:tblLook w:val="04A0" w:firstRow="1" w:lastRow="0" w:firstColumn="1" w:lastColumn="0" w:noHBand="0" w:noVBand="1"/>
      </w:tblPr>
      <w:tblGrid>
        <w:gridCol w:w="5529"/>
        <w:gridCol w:w="1843"/>
        <w:gridCol w:w="1862"/>
        <w:gridCol w:w="1505"/>
      </w:tblGrid>
      <w:tr w:rsidR="00A77652">
        <w:trPr>
          <w:trHeight w:val="383"/>
        </w:trPr>
        <w:tc>
          <w:tcPr>
            <w:tcW w:w="9234" w:type="dxa"/>
            <w:gridSpan w:val="3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A77652" w:rsidRDefault="00A77652">
            <w:pPr>
              <w:jc w:val="center"/>
              <w:rPr>
                <w:bCs/>
                <w:sz w:val="26"/>
                <w:szCs w:val="26"/>
              </w:rPr>
            </w:pPr>
          </w:p>
          <w:p w:rsidR="00A77652" w:rsidRDefault="00A77652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A77652" w:rsidRDefault="00E951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(тыс. руб.)</w:t>
            </w:r>
          </w:p>
        </w:tc>
      </w:tr>
      <w:tr w:rsidR="00A77652">
        <w:trPr>
          <w:trHeight w:val="1080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 2023 год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Факт 2023 год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A77652">
        <w:trPr>
          <w:trHeight w:val="690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4 804 454,2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4 106 047,3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х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A77652">
            <w:pPr>
              <w:jc w:val="center"/>
              <w:rPr>
                <w:sz w:val="24"/>
                <w:szCs w:val="24"/>
              </w:rPr>
            </w:pP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ind w:firstLine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4 684 505,1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4 013 300,0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85,68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ind w:firstLine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45 394,0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45 394,0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ind w:firstLine="24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74 555,1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47 353,3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63,52</w:t>
            </w:r>
          </w:p>
        </w:tc>
      </w:tr>
      <w:tr w:rsidR="00A77652">
        <w:trPr>
          <w:trHeight w:val="630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«Градостроительная подготовка территорий и фонд пространственных данных Новосибирской области»,</w:t>
            </w:r>
          </w:p>
          <w:p w:rsidR="00A77652" w:rsidRDefault="00E95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159 991,7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139 690,0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155 300,2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137 690,0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88,67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4 691,5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2 000,0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42,64</w:t>
            </w:r>
          </w:p>
        </w:tc>
      </w:tr>
      <w:tr w:rsidR="00A77652">
        <w:trPr>
          <w:trHeight w:val="1222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градостроительной документации или внесение в нее изменений в рамках полномочий муниципальных образований Новосибирской области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23 065,5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13 147,3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18 374,0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11 147,3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60,67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4 691,5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2 000,0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42,63</w:t>
            </w:r>
          </w:p>
        </w:tc>
      </w:tr>
      <w:tr w:rsidR="00A77652">
        <w:trPr>
          <w:trHeight w:val="630"/>
        </w:trPr>
        <w:tc>
          <w:tcPr>
            <w:tcW w:w="55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всех субъектов градостроительных отношений актуальными пространственными данными и актуальной градостроительной документацией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130 591,4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120 208,0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417"/>
        </w:trPr>
        <w:tc>
          <w:tcPr>
            <w:tcW w:w="55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130 591,4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120 208,0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92,05</w:t>
            </w:r>
          </w:p>
        </w:tc>
      </w:tr>
      <w:tr w:rsidR="00A77652">
        <w:trPr>
          <w:trHeight w:val="630"/>
        </w:trPr>
        <w:tc>
          <w:tcPr>
            <w:tcW w:w="55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проведения, участие в выставочно-ярмарочных и конгрессных мероприятиях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6 334,8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6 334,7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A77652">
        <w:trPr>
          <w:trHeight w:val="421"/>
        </w:trPr>
        <w:tc>
          <w:tcPr>
            <w:tcW w:w="55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A77652" w:rsidRDefault="00E9514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6 334,8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A77652" w:rsidRDefault="00E9514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6 334,7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A77652" w:rsidRDefault="00E95143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A77652">
        <w:trPr>
          <w:trHeight w:val="63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«Земельные ресурсы и инфраструктура»,</w:t>
            </w:r>
          </w:p>
          <w:p w:rsidR="00A77652" w:rsidRDefault="00E9514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3 273 667,7</w:t>
            </w:r>
          </w:p>
        </w:tc>
        <w:tc>
          <w:tcPr>
            <w:tcW w:w="186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3 093 466,2</w:t>
            </w:r>
          </w:p>
        </w:tc>
        <w:tc>
          <w:tcPr>
            <w:tcW w:w="1505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3 226 382,30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3 046 180,8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94,41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45 394,0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45 394,5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</w:t>
            </w:r>
          </w:p>
        </w:tc>
      </w:tr>
      <w:tr w:rsidR="00A77652">
        <w:trPr>
          <w:trHeight w:val="343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1 891,4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1 891,4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Организация комплексного освоения земельных участков в рамках деятельности АО «АРЖС НСО»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994 152,3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994 152,3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994 152,3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994 152,3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Организация комплексного освоения земельных участков в рамках новых инвестиционных проектов и инфраструктурных бюджетных </w:t>
            </w:r>
            <w:r>
              <w:rPr>
                <w:iCs/>
                <w:sz w:val="24"/>
                <w:szCs w:val="24"/>
              </w:rPr>
              <w:lastRenderedPageBreak/>
              <w:t>кредитов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285 000,0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285 000,0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vAlign w:val="center"/>
          </w:tcPr>
          <w:p w:rsidR="00A77652" w:rsidRDefault="00E9514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285 000,0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285 000,0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41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</w:t>
            </w:r>
            <w:r>
              <w:rPr>
                <w:iCs/>
                <w:sz w:val="24"/>
                <w:szCs w:val="24"/>
              </w:rPr>
              <w:t>ализация инфраструктурного проекта "Создание объектов инженерной,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области" ООО "Специализированный застройщик "Антей"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1 633 230,0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1 453 028,5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41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1 633 230,0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1 453 028,5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88,97</w:t>
            </w:r>
          </w:p>
        </w:tc>
      </w:tr>
      <w:tr w:rsidR="00A77652">
        <w:trPr>
          <w:trHeight w:val="341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>
              <w:rPr>
                <w:iCs/>
                <w:sz w:val="24"/>
                <w:szCs w:val="24"/>
              </w:rPr>
              <w:t>еализация инфраструктурного проекта "Создание объекта коммунальной инфраструктуры в целях реализации строительства многоквартирных жилых домов с помещениями общественного назначения по ул. Зорге в г. Новосибирске" ООО "Специализированный застройщик "Темпо"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314 000,0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314 000,0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41"/>
        </w:trPr>
        <w:tc>
          <w:tcPr>
            <w:tcW w:w="5529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314 000,0</w:t>
            </w:r>
          </w:p>
        </w:tc>
        <w:tc>
          <w:tcPr>
            <w:tcW w:w="1862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314 000,0</w:t>
            </w:r>
          </w:p>
        </w:tc>
        <w:tc>
          <w:tcPr>
            <w:tcW w:w="1505" w:type="dxa"/>
            <w:vMerge w:val="restart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41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bottom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47 285,4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bottom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47 285,4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45 394,0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45 394,0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1 891,4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1 891,4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«Государственная поддержка при завершении строительства «проблемных» жилых домов»,</w:t>
            </w:r>
          </w:p>
          <w:p w:rsidR="00A77652" w:rsidRDefault="00E95143">
            <w:pPr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194 276,7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172 558,3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184 792,7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164 113,0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88,81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9 484,0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8 445,3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89,05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Покрытие части расхо</w:t>
            </w:r>
            <w:r>
              <w:rPr>
                <w:iCs/>
                <w:sz w:val="24"/>
                <w:szCs w:val="24"/>
              </w:rPr>
              <w:t>дов муниципальных образований Новосибирской области на оплату по договорам технологического присоединения к сетям электро-, тепло-, водоснабжения и водоотведения в целях решения вопросов завершения строительства и ввода в эксплуатацию объектов жилищного ст</w:t>
            </w:r>
            <w:r>
              <w:rPr>
                <w:iCs/>
                <w:sz w:val="24"/>
                <w:szCs w:val="24"/>
              </w:rPr>
              <w:t>роительства, по которым застройщиком по истечении шести месяцев со дня, установленного договором об участии в строительстве многоквартирного дома, не исполнены обязательства по вводу многоквартирного дома в эксплуатацию и передаче гражданам жилых помещений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189 676,7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168 904,9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180 192,7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160 459,6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89,05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9 484,0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8 445,3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89,05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Государственная поддержка граждан, пострадавших от недобросовестных застройщиков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4 600,0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3 653,4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4 600,0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3 653,4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79,43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Подпрограмма </w:t>
            </w:r>
          </w:p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«Государственная поддержка граждан при приобретении (строительстве) жилья и стимулирование развития ипотечного кредитования»</w:t>
            </w:r>
          </w:p>
          <w:p w:rsidR="00A77652" w:rsidRDefault="00E95143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6 753,5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Государственная поддержка отдельных категорий граждан на оплату жилых помещений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5 825,0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5 825,0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Государственная поддержка работников бюджетной сферы на оплату первоначального взноса по ипотечным жилищным кредитам (займам)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928,0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928,0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«Государственная поддержка муниципальных образований Новосибирской области в обеспечении жилыми помещениями многодетных малообеспеченных семей»</w:t>
            </w:r>
          </w:p>
          <w:p w:rsidR="00A77652" w:rsidRDefault="00E95143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46 842,1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36 092,2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44 500,0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34 287,6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77,06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2 342,1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1 804,6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77,06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Содействие муниципальным районам и городским округам Новосибирской области в обеспечении жилыми помещениями многодетных малообеспеченных семей по договорам социального найма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46 842,1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36 092,2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44 500,0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34 287,6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77,06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2 342,1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1 804,6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77,06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</w:t>
            </w:r>
          </w:p>
          <w:p w:rsidR="00A77652" w:rsidRDefault="00E95143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809 736,8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495 454,6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769 250,0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470 681,9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61,19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40 486,8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24 772,7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61,19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Содействие бюджетам муниципальных районов и городских округов Новосибирской области на 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809 736,8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495 454,6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769 250,0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470 681,9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61,19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40 486,8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24 772,7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61,19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Подпрограмма</w:t>
            </w:r>
          </w:p>
          <w:p w:rsidR="00A77652" w:rsidRDefault="00E9514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«Государственная поддержка муниципальных образований Новосибирской области при строительстве специализированного жилищного фонда»</w:t>
            </w:r>
          </w:p>
          <w:p w:rsidR="00A77652" w:rsidRDefault="00E95143">
            <w:pPr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313 185,7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168 786,0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297 526,4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160 346,7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53,9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15 659,3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8 439,3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53,9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77652" w:rsidRDefault="00E951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Содействие муниципальным районам и городским округам Новосибирской области в оплате расходов, связанных со строительством </w:t>
            </w:r>
            <w:r>
              <w:rPr>
                <w:iCs/>
                <w:sz w:val="24"/>
                <w:szCs w:val="24"/>
              </w:rPr>
              <w:lastRenderedPageBreak/>
              <w:t>специализированного жилищного фонда для предоставления отдельным категориям граждан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313 185,7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noWrap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168 786,0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77652" w:rsidRDefault="00E951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297 526,4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160 346,7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53,9</w:t>
            </w:r>
          </w:p>
        </w:tc>
      </w:tr>
      <w:tr w:rsidR="00A77652">
        <w:trPr>
          <w:trHeight w:val="315"/>
        </w:trPr>
        <w:tc>
          <w:tcPr>
            <w:tcW w:w="5529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Бюджеты МО</w:t>
            </w:r>
          </w:p>
        </w:tc>
        <w:tc>
          <w:tcPr>
            <w:tcW w:w="1843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15 659,3</w:t>
            </w:r>
          </w:p>
        </w:tc>
        <w:tc>
          <w:tcPr>
            <w:tcW w:w="186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8 439,3</w:t>
            </w:r>
          </w:p>
        </w:tc>
        <w:tc>
          <w:tcPr>
            <w:tcW w:w="150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A77652" w:rsidRDefault="00E9514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53,9</w:t>
            </w:r>
          </w:p>
        </w:tc>
      </w:tr>
    </w:tbl>
    <w:p w:rsidR="00A77652" w:rsidRDefault="00A77652">
      <w:pPr>
        <w:pStyle w:val="af9"/>
        <w:rPr>
          <w:sz w:val="28"/>
          <w:szCs w:val="28"/>
        </w:rPr>
      </w:pPr>
    </w:p>
    <w:p w:rsidR="00A77652" w:rsidRDefault="00A77652">
      <w:pPr>
        <w:pStyle w:val="af9"/>
        <w:rPr>
          <w:sz w:val="28"/>
          <w:szCs w:val="28"/>
        </w:rPr>
      </w:pPr>
    </w:p>
    <w:p w:rsidR="00A77652" w:rsidRDefault="00A77652">
      <w:pPr>
        <w:pStyle w:val="af9"/>
        <w:rPr>
          <w:sz w:val="28"/>
          <w:szCs w:val="28"/>
        </w:rPr>
      </w:pPr>
    </w:p>
    <w:p w:rsidR="00A77652" w:rsidRDefault="00E95143">
      <w:pPr>
        <w:pStyle w:val="af9"/>
        <w:rPr>
          <w:sz w:val="28"/>
          <w:szCs w:val="28"/>
        </w:rPr>
      </w:pPr>
      <w:r>
        <w:rPr>
          <w:sz w:val="28"/>
          <w:szCs w:val="28"/>
        </w:rPr>
        <w:t>Министр строительства</w:t>
      </w:r>
    </w:p>
    <w:p w:rsidR="00A77652" w:rsidRDefault="00E95143">
      <w:pPr>
        <w:pStyle w:val="af9"/>
        <w:rPr>
          <w:vanish/>
        </w:rPr>
      </w:pPr>
      <w:r>
        <w:rPr>
          <w:sz w:val="28"/>
          <w:szCs w:val="28"/>
        </w:rPr>
        <w:t>Новосибирской области                                                                        А.В. Колмаков</w:t>
      </w:r>
    </w:p>
    <w:sectPr w:rsidR="00A77652">
      <w:headerReference w:type="even" r:id="rId7"/>
      <w:footerReference w:type="even" r:id="rId8"/>
      <w:footerReference w:type="default" r:id="rId9"/>
      <w:pgSz w:w="11907" w:h="16840"/>
      <w:pgMar w:top="993" w:right="567" w:bottom="1021" w:left="1418" w:header="425" w:footer="4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52" w:rsidRDefault="00E95143">
      <w:r>
        <w:separator/>
      </w:r>
    </w:p>
  </w:endnote>
  <w:endnote w:type="continuationSeparator" w:id="0">
    <w:p w:rsidR="00A77652" w:rsidRDefault="00E9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ヒラギノ角ゴ Pro W3">
    <w:charset w:val="00"/>
    <w:family w:val="auto"/>
    <w:pitch w:val="default"/>
  </w:font>
  <w:font w:name="Helvetica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52" w:rsidRDefault="00E95143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77652" w:rsidRDefault="00A77652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52" w:rsidRDefault="00E95143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52" w:rsidRDefault="00E95143">
      <w:r>
        <w:separator/>
      </w:r>
    </w:p>
  </w:footnote>
  <w:footnote w:type="continuationSeparator" w:id="0">
    <w:p w:rsidR="00A77652" w:rsidRDefault="00E9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52" w:rsidRDefault="00E95143">
    <w:pPr>
      <w:pStyle w:val="af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77652" w:rsidRDefault="00A77652">
    <w:pPr>
      <w:pStyle w:val="af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B73"/>
    <w:multiLevelType w:val="hybridMultilevel"/>
    <w:tmpl w:val="32D8045E"/>
    <w:lvl w:ilvl="0" w:tplc="FB0827B8">
      <w:start w:val="1"/>
      <w:numFmt w:val="decimal"/>
      <w:lvlText w:val="%1)"/>
      <w:lvlJc w:val="left"/>
      <w:pPr>
        <w:ind w:left="720" w:hanging="360"/>
      </w:pPr>
    </w:lvl>
    <w:lvl w:ilvl="1" w:tplc="2CCE667A">
      <w:start w:val="1"/>
      <w:numFmt w:val="lowerLetter"/>
      <w:lvlText w:val="%2."/>
      <w:lvlJc w:val="left"/>
      <w:pPr>
        <w:ind w:left="1440" w:hanging="360"/>
      </w:pPr>
    </w:lvl>
    <w:lvl w:ilvl="2" w:tplc="D10C7758">
      <w:start w:val="1"/>
      <w:numFmt w:val="lowerRoman"/>
      <w:lvlText w:val="%3."/>
      <w:lvlJc w:val="right"/>
      <w:pPr>
        <w:ind w:left="2160" w:hanging="180"/>
      </w:pPr>
    </w:lvl>
    <w:lvl w:ilvl="3" w:tplc="FA4CF180">
      <w:start w:val="1"/>
      <w:numFmt w:val="decimal"/>
      <w:lvlText w:val="%4."/>
      <w:lvlJc w:val="left"/>
      <w:pPr>
        <w:ind w:left="2880" w:hanging="360"/>
      </w:pPr>
    </w:lvl>
    <w:lvl w:ilvl="4" w:tplc="657EEC48">
      <w:start w:val="1"/>
      <w:numFmt w:val="lowerLetter"/>
      <w:lvlText w:val="%5."/>
      <w:lvlJc w:val="left"/>
      <w:pPr>
        <w:ind w:left="3600" w:hanging="360"/>
      </w:pPr>
    </w:lvl>
    <w:lvl w:ilvl="5" w:tplc="27D2FE64">
      <w:start w:val="1"/>
      <w:numFmt w:val="lowerRoman"/>
      <w:lvlText w:val="%6."/>
      <w:lvlJc w:val="right"/>
      <w:pPr>
        <w:ind w:left="4320" w:hanging="180"/>
      </w:pPr>
    </w:lvl>
    <w:lvl w:ilvl="6" w:tplc="E40433B0">
      <w:start w:val="1"/>
      <w:numFmt w:val="decimal"/>
      <w:lvlText w:val="%7."/>
      <w:lvlJc w:val="left"/>
      <w:pPr>
        <w:ind w:left="5040" w:hanging="360"/>
      </w:pPr>
    </w:lvl>
    <w:lvl w:ilvl="7" w:tplc="352C4374">
      <w:start w:val="1"/>
      <w:numFmt w:val="lowerLetter"/>
      <w:lvlText w:val="%8."/>
      <w:lvlJc w:val="left"/>
      <w:pPr>
        <w:ind w:left="5760" w:hanging="360"/>
      </w:pPr>
    </w:lvl>
    <w:lvl w:ilvl="8" w:tplc="2F52B5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79"/>
    <w:multiLevelType w:val="hybridMultilevel"/>
    <w:tmpl w:val="C730F338"/>
    <w:lvl w:ilvl="0" w:tplc="6DB09420">
      <w:start w:val="2015"/>
      <w:numFmt w:val="decimal"/>
      <w:lvlText w:val="%1"/>
      <w:lvlJc w:val="left"/>
      <w:pPr>
        <w:ind w:left="592" w:hanging="600"/>
      </w:pPr>
    </w:lvl>
    <w:lvl w:ilvl="1" w:tplc="38962568">
      <w:start w:val="1"/>
      <w:numFmt w:val="lowerLetter"/>
      <w:lvlText w:val="%2."/>
      <w:lvlJc w:val="left"/>
      <w:pPr>
        <w:ind w:left="1072" w:hanging="360"/>
      </w:pPr>
    </w:lvl>
    <w:lvl w:ilvl="2" w:tplc="8A184970">
      <w:start w:val="1"/>
      <w:numFmt w:val="lowerRoman"/>
      <w:lvlText w:val="%3."/>
      <w:lvlJc w:val="right"/>
      <w:pPr>
        <w:ind w:left="1792" w:hanging="180"/>
      </w:pPr>
    </w:lvl>
    <w:lvl w:ilvl="3" w:tplc="CF2A23C6">
      <w:start w:val="1"/>
      <w:numFmt w:val="decimal"/>
      <w:lvlText w:val="%4."/>
      <w:lvlJc w:val="left"/>
      <w:pPr>
        <w:ind w:left="2512" w:hanging="360"/>
      </w:pPr>
    </w:lvl>
    <w:lvl w:ilvl="4" w:tplc="D89A0FCE">
      <w:start w:val="1"/>
      <w:numFmt w:val="lowerLetter"/>
      <w:lvlText w:val="%5."/>
      <w:lvlJc w:val="left"/>
      <w:pPr>
        <w:ind w:left="3232" w:hanging="360"/>
      </w:pPr>
    </w:lvl>
    <w:lvl w:ilvl="5" w:tplc="A014B462">
      <w:start w:val="1"/>
      <w:numFmt w:val="lowerRoman"/>
      <w:lvlText w:val="%6."/>
      <w:lvlJc w:val="right"/>
      <w:pPr>
        <w:ind w:left="3952" w:hanging="180"/>
      </w:pPr>
    </w:lvl>
    <w:lvl w:ilvl="6" w:tplc="C8447544">
      <w:start w:val="1"/>
      <w:numFmt w:val="decimal"/>
      <w:lvlText w:val="%7."/>
      <w:lvlJc w:val="left"/>
      <w:pPr>
        <w:ind w:left="4672" w:hanging="360"/>
      </w:pPr>
    </w:lvl>
    <w:lvl w:ilvl="7" w:tplc="55CCD614">
      <w:start w:val="1"/>
      <w:numFmt w:val="lowerLetter"/>
      <w:lvlText w:val="%8."/>
      <w:lvlJc w:val="left"/>
      <w:pPr>
        <w:ind w:left="5392" w:hanging="360"/>
      </w:pPr>
    </w:lvl>
    <w:lvl w:ilvl="8" w:tplc="5848247E">
      <w:start w:val="1"/>
      <w:numFmt w:val="lowerRoman"/>
      <w:lvlText w:val="%9."/>
      <w:lvlJc w:val="right"/>
      <w:pPr>
        <w:ind w:left="6112" w:hanging="180"/>
      </w:pPr>
    </w:lvl>
  </w:abstractNum>
  <w:abstractNum w:abstractNumId="2" w15:restartNumberingAfterBreak="0">
    <w:nsid w:val="0CF544DB"/>
    <w:multiLevelType w:val="hybridMultilevel"/>
    <w:tmpl w:val="0419001D"/>
    <w:lvl w:ilvl="0" w:tplc="71AAE43C">
      <w:start w:val="1"/>
      <w:numFmt w:val="decimal"/>
      <w:lvlText w:val="%1)"/>
      <w:lvlJc w:val="left"/>
      <w:pPr>
        <w:ind w:left="360" w:hanging="360"/>
      </w:pPr>
    </w:lvl>
    <w:lvl w:ilvl="1" w:tplc="811CA4C2">
      <w:start w:val="1"/>
      <w:numFmt w:val="lowerLetter"/>
      <w:lvlText w:val="%2)"/>
      <w:lvlJc w:val="left"/>
      <w:pPr>
        <w:ind w:left="720" w:hanging="360"/>
      </w:pPr>
    </w:lvl>
    <w:lvl w:ilvl="2" w:tplc="34A288A2">
      <w:start w:val="1"/>
      <w:numFmt w:val="lowerRoman"/>
      <w:lvlText w:val="%3)"/>
      <w:lvlJc w:val="left"/>
      <w:pPr>
        <w:ind w:left="1080" w:hanging="360"/>
      </w:pPr>
    </w:lvl>
    <w:lvl w:ilvl="3" w:tplc="16F8A3CE">
      <w:start w:val="1"/>
      <w:numFmt w:val="decimal"/>
      <w:lvlText w:val="(%4)"/>
      <w:lvlJc w:val="left"/>
      <w:pPr>
        <w:ind w:left="1440" w:hanging="360"/>
      </w:pPr>
    </w:lvl>
    <w:lvl w:ilvl="4" w:tplc="C6AA22DC">
      <w:start w:val="1"/>
      <w:numFmt w:val="lowerLetter"/>
      <w:lvlText w:val="(%5)"/>
      <w:lvlJc w:val="left"/>
      <w:pPr>
        <w:ind w:left="1800" w:hanging="360"/>
      </w:pPr>
    </w:lvl>
    <w:lvl w:ilvl="5" w:tplc="DB4A5A36">
      <w:start w:val="1"/>
      <w:numFmt w:val="lowerRoman"/>
      <w:lvlText w:val="(%6)"/>
      <w:lvlJc w:val="left"/>
      <w:pPr>
        <w:ind w:left="2160" w:hanging="360"/>
      </w:pPr>
    </w:lvl>
    <w:lvl w:ilvl="6" w:tplc="4BAED4DE">
      <w:start w:val="1"/>
      <w:numFmt w:val="decimal"/>
      <w:lvlText w:val="%7."/>
      <w:lvlJc w:val="left"/>
      <w:pPr>
        <w:ind w:left="2520" w:hanging="360"/>
      </w:pPr>
    </w:lvl>
    <w:lvl w:ilvl="7" w:tplc="F4C0F0CC">
      <w:start w:val="1"/>
      <w:numFmt w:val="lowerLetter"/>
      <w:lvlText w:val="%8."/>
      <w:lvlJc w:val="left"/>
      <w:pPr>
        <w:ind w:left="2880" w:hanging="360"/>
      </w:pPr>
    </w:lvl>
    <w:lvl w:ilvl="8" w:tplc="739EDE3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244BA7"/>
    <w:multiLevelType w:val="hybridMultilevel"/>
    <w:tmpl w:val="22EAD112"/>
    <w:lvl w:ilvl="0" w:tplc="38A0DE98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F4946A30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 w:tplc="28C2F9FE">
      <w:start w:val="1"/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 w:tplc="28DAA4AA">
      <w:start w:val="1"/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 w:tplc="9C7A9FDC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 w:tplc="5AFA8A7A">
      <w:start w:val="1"/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 w:tplc="DE8640B6">
      <w:start w:val="1"/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 w:tplc="F5FA2CF0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 w:tplc="73DE8156">
      <w:start w:val="1"/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4" w15:restartNumberingAfterBreak="0">
    <w:nsid w:val="12015A49"/>
    <w:multiLevelType w:val="multilevel"/>
    <w:tmpl w:val="B17690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2576" w:hanging="1980"/>
      </w:pPr>
    </w:lvl>
    <w:lvl w:ilvl="2">
      <w:start w:val="1"/>
      <w:numFmt w:val="decimal"/>
      <w:lvlText w:val="%1.%2.%3."/>
      <w:lvlJc w:val="left"/>
      <w:pPr>
        <w:ind w:left="2604" w:hanging="1980"/>
      </w:pPr>
    </w:lvl>
    <w:lvl w:ilvl="3">
      <w:start w:val="1"/>
      <w:numFmt w:val="decimal"/>
      <w:lvlText w:val="%1.%2.%3.%4."/>
      <w:lvlJc w:val="left"/>
      <w:pPr>
        <w:ind w:left="2632" w:hanging="1980"/>
      </w:pPr>
    </w:lvl>
    <w:lvl w:ilvl="4">
      <w:start w:val="2"/>
      <w:numFmt w:val="decimal"/>
      <w:lvlText w:val="%1.%2.%3.%4.%5."/>
      <w:lvlJc w:val="left"/>
      <w:pPr>
        <w:ind w:left="2660" w:hanging="1980"/>
      </w:pPr>
    </w:lvl>
    <w:lvl w:ilvl="5">
      <w:start w:val="2"/>
      <w:numFmt w:val="decimal"/>
      <w:lvlText w:val="%1.%2.%3.%4.%5.%6."/>
      <w:lvlJc w:val="left"/>
      <w:pPr>
        <w:ind w:left="2688" w:hanging="1980"/>
      </w:pPr>
    </w:lvl>
    <w:lvl w:ilvl="6">
      <w:start w:val="1"/>
      <w:numFmt w:val="decimal"/>
      <w:lvlText w:val="%1.%2.%3.%4.%5.%6.%7."/>
      <w:lvlJc w:val="left"/>
      <w:pPr>
        <w:ind w:left="2716" w:hanging="1980"/>
      </w:pPr>
    </w:lvl>
    <w:lvl w:ilvl="7">
      <w:start w:val="1"/>
      <w:numFmt w:val="decimal"/>
      <w:lvlText w:val="%1.%2.%3.%4.%5.%6.%7.%8."/>
      <w:lvlJc w:val="left"/>
      <w:pPr>
        <w:ind w:left="2744" w:hanging="1980"/>
      </w:pPr>
    </w:lvl>
    <w:lvl w:ilvl="8">
      <w:start w:val="1"/>
      <w:numFmt w:val="decimal"/>
      <w:lvlText w:val="%1.%2.%3.%4.%5.%6.%7.%8.%9."/>
      <w:lvlJc w:val="left"/>
      <w:pPr>
        <w:ind w:left="2772" w:hanging="1980"/>
      </w:pPr>
    </w:lvl>
  </w:abstractNum>
  <w:abstractNum w:abstractNumId="5" w15:restartNumberingAfterBreak="0">
    <w:nsid w:val="1B0D005B"/>
    <w:multiLevelType w:val="hybridMultilevel"/>
    <w:tmpl w:val="C2584542"/>
    <w:lvl w:ilvl="0" w:tplc="424AA18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280AB4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5247BD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41AF42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F369A7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7043A1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E7A50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D5E35B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1468F8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F0B100E"/>
    <w:multiLevelType w:val="hybridMultilevel"/>
    <w:tmpl w:val="5206029A"/>
    <w:lvl w:ilvl="0" w:tplc="43B838AE">
      <w:start w:val="1"/>
      <w:numFmt w:val="decimal"/>
      <w:lvlText w:val="%1."/>
      <w:lvlJc w:val="left"/>
      <w:pPr>
        <w:ind w:left="927" w:hanging="360"/>
      </w:pPr>
    </w:lvl>
    <w:lvl w:ilvl="1" w:tplc="FCF289FA">
      <w:start w:val="1"/>
      <w:numFmt w:val="lowerLetter"/>
      <w:lvlText w:val="%2."/>
      <w:lvlJc w:val="left"/>
      <w:pPr>
        <w:ind w:left="1647" w:hanging="360"/>
      </w:pPr>
    </w:lvl>
    <w:lvl w:ilvl="2" w:tplc="E594145A">
      <w:start w:val="1"/>
      <w:numFmt w:val="lowerRoman"/>
      <w:lvlText w:val="%3."/>
      <w:lvlJc w:val="right"/>
      <w:pPr>
        <w:ind w:left="2367" w:hanging="180"/>
      </w:pPr>
    </w:lvl>
    <w:lvl w:ilvl="3" w:tplc="38CC56CC">
      <w:start w:val="1"/>
      <w:numFmt w:val="decimal"/>
      <w:lvlText w:val="%4."/>
      <w:lvlJc w:val="left"/>
      <w:pPr>
        <w:ind w:left="3087" w:hanging="360"/>
      </w:pPr>
    </w:lvl>
    <w:lvl w:ilvl="4" w:tplc="3A1A7D6C">
      <w:start w:val="1"/>
      <w:numFmt w:val="lowerLetter"/>
      <w:lvlText w:val="%5."/>
      <w:lvlJc w:val="left"/>
      <w:pPr>
        <w:ind w:left="3807" w:hanging="360"/>
      </w:pPr>
    </w:lvl>
    <w:lvl w:ilvl="5" w:tplc="1B72281A">
      <w:start w:val="1"/>
      <w:numFmt w:val="lowerRoman"/>
      <w:lvlText w:val="%6."/>
      <w:lvlJc w:val="right"/>
      <w:pPr>
        <w:ind w:left="4527" w:hanging="180"/>
      </w:pPr>
    </w:lvl>
    <w:lvl w:ilvl="6" w:tplc="DBCE146E">
      <w:start w:val="1"/>
      <w:numFmt w:val="decimal"/>
      <w:lvlText w:val="%7."/>
      <w:lvlJc w:val="left"/>
      <w:pPr>
        <w:ind w:left="5247" w:hanging="360"/>
      </w:pPr>
    </w:lvl>
    <w:lvl w:ilvl="7" w:tplc="3E2C8E52">
      <w:start w:val="1"/>
      <w:numFmt w:val="lowerLetter"/>
      <w:lvlText w:val="%8."/>
      <w:lvlJc w:val="left"/>
      <w:pPr>
        <w:ind w:left="5967" w:hanging="360"/>
      </w:pPr>
    </w:lvl>
    <w:lvl w:ilvl="8" w:tplc="5854F854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E82D61"/>
    <w:multiLevelType w:val="hybridMultilevel"/>
    <w:tmpl w:val="1E8665AC"/>
    <w:lvl w:ilvl="0" w:tplc="E6A011F4">
      <w:start w:val="1"/>
      <w:numFmt w:val="decimal"/>
      <w:lvlText w:val="%1)"/>
      <w:lvlJc w:val="left"/>
      <w:pPr>
        <w:ind w:left="720" w:hanging="360"/>
      </w:pPr>
    </w:lvl>
    <w:lvl w:ilvl="1" w:tplc="22BCE7AC">
      <w:start w:val="1"/>
      <w:numFmt w:val="lowerLetter"/>
      <w:lvlText w:val="%2."/>
      <w:lvlJc w:val="left"/>
      <w:pPr>
        <w:ind w:left="1440" w:hanging="360"/>
      </w:pPr>
    </w:lvl>
    <w:lvl w:ilvl="2" w:tplc="6FF210B4">
      <w:start w:val="1"/>
      <w:numFmt w:val="lowerRoman"/>
      <w:lvlText w:val="%3."/>
      <w:lvlJc w:val="right"/>
      <w:pPr>
        <w:ind w:left="2160" w:hanging="180"/>
      </w:pPr>
    </w:lvl>
    <w:lvl w:ilvl="3" w:tplc="17E86BA4">
      <w:start w:val="1"/>
      <w:numFmt w:val="decimal"/>
      <w:lvlText w:val="%4."/>
      <w:lvlJc w:val="left"/>
      <w:pPr>
        <w:ind w:left="2880" w:hanging="360"/>
      </w:pPr>
    </w:lvl>
    <w:lvl w:ilvl="4" w:tplc="08B66B44">
      <w:start w:val="1"/>
      <w:numFmt w:val="lowerLetter"/>
      <w:lvlText w:val="%5."/>
      <w:lvlJc w:val="left"/>
      <w:pPr>
        <w:ind w:left="3600" w:hanging="360"/>
      </w:pPr>
    </w:lvl>
    <w:lvl w:ilvl="5" w:tplc="9DA0AF52">
      <w:start w:val="1"/>
      <w:numFmt w:val="lowerRoman"/>
      <w:lvlText w:val="%6."/>
      <w:lvlJc w:val="right"/>
      <w:pPr>
        <w:ind w:left="4320" w:hanging="180"/>
      </w:pPr>
    </w:lvl>
    <w:lvl w:ilvl="6" w:tplc="7FAAFACC">
      <w:start w:val="1"/>
      <w:numFmt w:val="decimal"/>
      <w:lvlText w:val="%7."/>
      <w:lvlJc w:val="left"/>
      <w:pPr>
        <w:ind w:left="5040" w:hanging="360"/>
      </w:pPr>
    </w:lvl>
    <w:lvl w:ilvl="7" w:tplc="24CE4C00">
      <w:start w:val="1"/>
      <w:numFmt w:val="lowerLetter"/>
      <w:lvlText w:val="%8."/>
      <w:lvlJc w:val="left"/>
      <w:pPr>
        <w:ind w:left="5760" w:hanging="360"/>
      </w:pPr>
    </w:lvl>
    <w:lvl w:ilvl="8" w:tplc="FBB0313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D2CB8"/>
    <w:multiLevelType w:val="hybridMultilevel"/>
    <w:tmpl w:val="765C4B9A"/>
    <w:lvl w:ilvl="0" w:tplc="DDFCB9C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099A933A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 w:tplc="A1CEDABC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DCEAA8A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5A48E566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 w:tplc="F7D2F06E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43846F4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632E5220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 w:tplc="15920952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9" w15:restartNumberingAfterBreak="0">
    <w:nsid w:val="2B19150F"/>
    <w:multiLevelType w:val="hybridMultilevel"/>
    <w:tmpl w:val="46325742"/>
    <w:lvl w:ilvl="0" w:tplc="E57ED698">
      <w:start w:val="2015"/>
      <w:numFmt w:val="decimal"/>
      <w:lvlText w:val="%1"/>
      <w:lvlJc w:val="left"/>
      <w:pPr>
        <w:ind w:left="960" w:hanging="600"/>
      </w:pPr>
    </w:lvl>
    <w:lvl w:ilvl="1" w:tplc="45EE1352">
      <w:start w:val="1"/>
      <w:numFmt w:val="lowerLetter"/>
      <w:lvlText w:val="%2."/>
      <w:lvlJc w:val="left"/>
      <w:pPr>
        <w:ind w:left="1440" w:hanging="360"/>
      </w:pPr>
    </w:lvl>
    <w:lvl w:ilvl="2" w:tplc="79AC2492">
      <w:start w:val="1"/>
      <w:numFmt w:val="lowerRoman"/>
      <w:lvlText w:val="%3."/>
      <w:lvlJc w:val="right"/>
      <w:pPr>
        <w:ind w:left="2160" w:hanging="180"/>
      </w:pPr>
    </w:lvl>
    <w:lvl w:ilvl="3" w:tplc="4204F01E">
      <w:start w:val="1"/>
      <w:numFmt w:val="decimal"/>
      <w:lvlText w:val="%4."/>
      <w:lvlJc w:val="left"/>
      <w:pPr>
        <w:ind w:left="2880" w:hanging="360"/>
      </w:pPr>
    </w:lvl>
    <w:lvl w:ilvl="4" w:tplc="773813A4">
      <w:start w:val="1"/>
      <w:numFmt w:val="lowerLetter"/>
      <w:lvlText w:val="%5."/>
      <w:lvlJc w:val="left"/>
      <w:pPr>
        <w:ind w:left="3600" w:hanging="360"/>
      </w:pPr>
    </w:lvl>
    <w:lvl w:ilvl="5" w:tplc="B930FE2A">
      <w:start w:val="1"/>
      <w:numFmt w:val="lowerRoman"/>
      <w:lvlText w:val="%6."/>
      <w:lvlJc w:val="right"/>
      <w:pPr>
        <w:ind w:left="4320" w:hanging="180"/>
      </w:pPr>
    </w:lvl>
    <w:lvl w:ilvl="6" w:tplc="5BA2B188">
      <w:start w:val="1"/>
      <w:numFmt w:val="decimal"/>
      <w:lvlText w:val="%7."/>
      <w:lvlJc w:val="left"/>
      <w:pPr>
        <w:ind w:left="5040" w:hanging="360"/>
      </w:pPr>
    </w:lvl>
    <w:lvl w:ilvl="7" w:tplc="2F7C2254">
      <w:start w:val="1"/>
      <w:numFmt w:val="lowerLetter"/>
      <w:lvlText w:val="%8."/>
      <w:lvlJc w:val="left"/>
      <w:pPr>
        <w:ind w:left="5760" w:hanging="360"/>
      </w:pPr>
    </w:lvl>
    <w:lvl w:ilvl="8" w:tplc="3FB4621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0C07"/>
    <w:multiLevelType w:val="hybridMultilevel"/>
    <w:tmpl w:val="3A6C8B04"/>
    <w:lvl w:ilvl="0" w:tplc="859E9B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C4261A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430C3E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6BED79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CFE776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218C7B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0C1611F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A80EF8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84CD3E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1CE799F"/>
    <w:multiLevelType w:val="hybridMultilevel"/>
    <w:tmpl w:val="32404CAA"/>
    <w:lvl w:ilvl="0" w:tplc="76D06826">
      <w:start w:val="1"/>
      <w:numFmt w:val="decimal"/>
      <w:lvlText w:val="%1."/>
      <w:lvlJc w:val="left"/>
      <w:pPr>
        <w:ind w:left="360" w:hanging="360"/>
      </w:pPr>
    </w:lvl>
    <w:lvl w:ilvl="1" w:tplc="DA78B410">
      <w:start w:val="1"/>
      <w:numFmt w:val="lowerLetter"/>
      <w:lvlText w:val="%2."/>
      <w:lvlJc w:val="left"/>
      <w:pPr>
        <w:ind w:left="1080" w:hanging="360"/>
      </w:pPr>
    </w:lvl>
    <w:lvl w:ilvl="2" w:tplc="36301EBC">
      <w:start w:val="1"/>
      <w:numFmt w:val="lowerRoman"/>
      <w:lvlText w:val="%3."/>
      <w:lvlJc w:val="right"/>
      <w:pPr>
        <w:ind w:left="1800" w:hanging="180"/>
      </w:pPr>
    </w:lvl>
    <w:lvl w:ilvl="3" w:tplc="5FEA2054">
      <w:start w:val="1"/>
      <w:numFmt w:val="decimal"/>
      <w:lvlText w:val="%4."/>
      <w:lvlJc w:val="left"/>
      <w:pPr>
        <w:ind w:left="2520" w:hanging="360"/>
      </w:pPr>
    </w:lvl>
    <w:lvl w:ilvl="4" w:tplc="B3C2A05E">
      <w:start w:val="1"/>
      <w:numFmt w:val="lowerLetter"/>
      <w:lvlText w:val="%5."/>
      <w:lvlJc w:val="left"/>
      <w:pPr>
        <w:ind w:left="3240" w:hanging="360"/>
      </w:pPr>
    </w:lvl>
    <w:lvl w:ilvl="5" w:tplc="C318F3CE">
      <w:start w:val="1"/>
      <w:numFmt w:val="lowerRoman"/>
      <w:lvlText w:val="%6."/>
      <w:lvlJc w:val="right"/>
      <w:pPr>
        <w:ind w:left="3960" w:hanging="180"/>
      </w:pPr>
    </w:lvl>
    <w:lvl w:ilvl="6" w:tplc="DDEE9722">
      <w:start w:val="1"/>
      <w:numFmt w:val="decimal"/>
      <w:lvlText w:val="%7."/>
      <w:lvlJc w:val="left"/>
      <w:pPr>
        <w:ind w:left="4680" w:hanging="360"/>
      </w:pPr>
    </w:lvl>
    <w:lvl w:ilvl="7" w:tplc="7AF0C7D6">
      <w:start w:val="1"/>
      <w:numFmt w:val="lowerLetter"/>
      <w:lvlText w:val="%8."/>
      <w:lvlJc w:val="left"/>
      <w:pPr>
        <w:ind w:left="5400" w:hanging="360"/>
      </w:pPr>
    </w:lvl>
    <w:lvl w:ilvl="8" w:tplc="0D90B41A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E812F1"/>
    <w:multiLevelType w:val="hybridMultilevel"/>
    <w:tmpl w:val="CF163158"/>
    <w:lvl w:ilvl="0" w:tplc="85EC3CA2">
      <w:start w:val="1"/>
      <w:numFmt w:val="decimal"/>
      <w:lvlText w:val="%1)"/>
      <w:lvlJc w:val="left"/>
      <w:pPr>
        <w:ind w:left="720" w:hanging="360"/>
      </w:pPr>
    </w:lvl>
    <w:lvl w:ilvl="1" w:tplc="A594AE88">
      <w:start w:val="1"/>
      <w:numFmt w:val="lowerLetter"/>
      <w:lvlText w:val="%2."/>
      <w:lvlJc w:val="left"/>
      <w:pPr>
        <w:ind w:left="1440" w:hanging="360"/>
      </w:pPr>
    </w:lvl>
    <w:lvl w:ilvl="2" w:tplc="02DAB182">
      <w:start w:val="1"/>
      <w:numFmt w:val="lowerRoman"/>
      <w:lvlText w:val="%3."/>
      <w:lvlJc w:val="right"/>
      <w:pPr>
        <w:ind w:left="2160" w:hanging="180"/>
      </w:pPr>
    </w:lvl>
    <w:lvl w:ilvl="3" w:tplc="5F887DF8">
      <w:start w:val="1"/>
      <w:numFmt w:val="decimal"/>
      <w:lvlText w:val="%4."/>
      <w:lvlJc w:val="left"/>
      <w:pPr>
        <w:ind w:left="2880" w:hanging="360"/>
      </w:pPr>
    </w:lvl>
    <w:lvl w:ilvl="4" w:tplc="F62EE864">
      <w:start w:val="1"/>
      <w:numFmt w:val="lowerLetter"/>
      <w:lvlText w:val="%5."/>
      <w:lvlJc w:val="left"/>
      <w:pPr>
        <w:ind w:left="3600" w:hanging="360"/>
      </w:pPr>
    </w:lvl>
    <w:lvl w:ilvl="5" w:tplc="C30E9E30">
      <w:start w:val="1"/>
      <w:numFmt w:val="lowerRoman"/>
      <w:lvlText w:val="%6."/>
      <w:lvlJc w:val="right"/>
      <w:pPr>
        <w:ind w:left="4320" w:hanging="180"/>
      </w:pPr>
    </w:lvl>
    <w:lvl w:ilvl="6" w:tplc="0BC6EE6E">
      <w:start w:val="1"/>
      <w:numFmt w:val="decimal"/>
      <w:lvlText w:val="%7."/>
      <w:lvlJc w:val="left"/>
      <w:pPr>
        <w:ind w:left="5040" w:hanging="360"/>
      </w:pPr>
    </w:lvl>
    <w:lvl w:ilvl="7" w:tplc="BA68BCEA">
      <w:start w:val="1"/>
      <w:numFmt w:val="lowerLetter"/>
      <w:lvlText w:val="%8."/>
      <w:lvlJc w:val="left"/>
      <w:pPr>
        <w:ind w:left="5760" w:hanging="360"/>
      </w:pPr>
    </w:lvl>
    <w:lvl w:ilvl="8" w:tplc="CD2004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53788"/>
    <w:multiLevelType w:val="hybridMultilevel"/>
    <w:tmpl w:val="413E405E"/>
    <w:lvl w:ilvl="0" w:tplc="AC48FA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 w:tplc="0C6246FE">
      <w:start w:val="1"/>
      <w:numFmt w:val="bullet"/>
      <w:suff w:val="space"/>
      <w:lvlText w:val="−"/>
      <w:lvlJc w:val="left"/>
      <w:pPr>
        <w:ind w:left="1070" w:hanging="360"/>
      </w:pPr>
      <w:rPr>
        <w:rFonts w:ascii="Times New Roman" w:hAnsi="Times New Roman" w:cs="Times New Roman"/>
        <w:sz w:val="28"/>
        <w:lang w:val="ru-RU"/>
      </w:rPr>
    </w:lvl>
    <w:lvl w:ilvl="2" w:tplc="F0BCF2C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7FA94F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0C477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60AC3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B69A8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F523E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8B426B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5B91BDC"/>
    <w:multiLevelType w:val="hybridMultilevel"/>
    <w:tmpl w:val="F5183324"/>
    <w:lvl w:ilvl="0" w:tplc="49D84ADA">
      <w:start w:val="1"/>
      <w:numFmt w:val="decimal"/>
      <w:lvlText w:val="%1)"/>
      <w:lvlJc w:val="left"/>
      <w:pPr>
        <w:ind w:left="1410" w:hanging="870"/>
      </w:pPr>
    </w:lvl>
    <w:lvl w:ilvl="1" w:tplc="F350F34E">
      <w:start w:val="1"/>
      <w:numFmt w:val="lowerLetter"/>
      <w:lvlText w:val="%2."/>
      <w:lvlJc w:val="left"/>
      <w:pPr>
        <w:ind w:left="1620" w:hanging="360"/>
      </w:pPr>
    </w:lvl>
    <w:lvl w:ilvl="2" w:tplc="AD96C8A0">
      <w:start w:val="1"/>
      <w:numFmt w:val="lowerRoman"/>
      <w:lvlText w:val="%3."/>
      <w:lvlJc w:val="right"/>
      <w:pPr>
        <w:ind w:left="2340" w:hanging="180"/>
      </w:pPr>
    </w:lvl>
    <w:lvl w:ilvl="3" w:tplc="33D49324">
      <w:start w:val="1"/>
      <w:numFmt w:val="decimal"/>
      <w:lvlText w:val="%4."/>
      <w:lvlJc w:val="left"/>
      <w:pPr>
        <w:ind w:left="3060" w:hanging="360"/>
      </w:pPr>
    </w:lvl>
    <w:lvl w:ilvl="4" w:tplc="79D674A2">
      <w:start w:val="1"/>
      <w:numFmt w:val="lowerLetter"/>
      <w:lvlText w:val="%5."/>
      <w:lvlJc w:val="left"/>
      <w:pPr>
        <w:ind w:left="3780" w:hanging="360"/>
      </w:pPr>
    </w:lvl>
    <w:lvl w:ilvl="5" w:tplc="0B7A9AE0">
      <w:start w:val="1"/>
      <w:numFmt w:val="lowerRoman"/>
      <w:lvlText w:val="%6."/>
      <w:lvlJc w:val="right"/>
      <w:pPr>
        <w:ind w:left="4500" w:hanging="180"/>
      </w:pPr>
    </w:lvl>
    <w:lvl w:ilvl="6" w:tplc="1018E4C6">
      <w:start w:val="1"/>
      <w:numFmt w:val="decimal"/>
      <w:lvlText w:val="%7."/>
      <w:lvlJc w:val="left"/>
      <w:pPr>
        <w:ind w:left="5220" w:hanging="360"/>
      </w:pPr>
    </w:lvl>
    <w:lvl w:ilvl="7" w:tplc="406E39FA">
      <w:start w:val="1"/>
      <w:numFmt w:val="lowerLetter"/>
      <w:lvlText w:val="%8."/>
      <w:lvlJc w:val="left"/>
      <w:pPr>
        <w:ind w:left="5940" w:hanging="360"/>
      </w:pPr>
    </w:lvl>
    <w:lvl w:ilvl="8" w:tplc="90FEF792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8D603C9"/>
    <w:multiLevelType w:val="hybridMultilevel"/>
    <w:tmpl w:val="B6AA4E8C"/>
    <w:lvl w:ilvl="0" w:tplc="A5E4B75C">
      <w:start w:val="1"/>
      <w:numFmt w:val="decimal"/>
      <w:lvlText w:val="%1."/>
      <w:lvlJc w:val="left"/>
      <w:pPr>
        <w:ind w:left="1080" w:hanging="360"/>
      </w:pPr>
    </w:lvl>
    <w:lvl w:ilvl="1" w:tplc="B3569276">
      <w:start w:val="1"/>
      <w:numFmt w:val="lowerLetter"/>
      <w:lvlText w:val="%2."/>
      <w:lvlJc w:val="left"/>
      <w:pPr>
        <w:ind w:left="1800" w:hanging="360"/>
      </w:pPr>
    </w:lvl>
    <w:lvl w:ilvl="2" w:tplc="3A5C4F26">
      <w:start w:val="1"/>
      <w:numFmt w:val="lowerRoman"/>
      <w:lvlText w:val="%3."/>
      <w:lvlJc w:val="right"/>
      <w:pPr>
        <w:ind w:left="2520" w:hanging="180"/>
      </w:pPr>
    </w:lvl>
    <w:lvl w:ilvl="3" w:tplc="C10207C0">
      <w:start w:val="1"/>
      <w:numFmt w:val="decimal"/>
      <w:lvlText w:val="%4."/>
      <w:lvlJc w:val="left"/>
      <w:pPr>
        <w:ind w:left="3240" w:hanging="360"/>
      </w:pPr>
    </w:lvl>
    <w:lvl w:ilvl="4" w:tplc="AAF89DC0">
      <w:start w:val="1"/>
      <w:numFmt w:val="lowerLetter"/>
      <w:lvlText w:val="%5."/>
      <w:lvlJc w:val="left"/>
      <w:pPr>
        <w:ind w:left="3960" w:hanging="360"/>
      </w:pPr>
    </w:lvl>
    <w:lvl w:ilvl="5" w:tplc="5F8850BE">
      <w:start w:val="1"/>
      <w:numFmt w:val="lowerRoman"/>
      <w:lvlText w:val="%6."/>
      <w:lvlJc w:val="right"/>
      <w:pPr>
        <w:ind w:left="4680" w:hanging="180"/>
      </w:pPr>
    </w:lvl>
    <w:lvl w:ilvl="6" w:tplc="1698113C">
      <w:start w:val="1"/>
      <w:numFmt w:val="decimal"/>
      <w:lvlText w:val="%7."/>
      <w:lvlJc w:val="left"/>
      <w:pPr>
        <w:ind w:left="5400" w:hanging="360"/>
      </w:pPr>
    </w:lvl>
    <w:lvl w:ilvl="7" w:tplc="ADB68C4C">
      <w:start w:val="1"/>
      <w:numFmt w:val="lowerLetter"/>
      <w:lvlText w:val="%8."/>
      <w:lvlJc w:val="left"/>
      <w:pPr>
        <w:ind w:left="6120" w:hanging="360"/>
      </w:pPr>
    </w:lvl>
    <w:lvl w:ilvl="8" w:tplc="D696C816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BF6968"/>
    <w:multiLevelType w:val="hybridMultilevel"/>
    <w:tmpl w:val="0DCA42D0"/>
    <w:lvl w:ilvl="0" w:tplc="9836F12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EA28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9047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F8C9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701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2A94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C267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82D3E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C24A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F1FEB"/>
    <w:multiLevelType w:val="hybridMultilevel"/>
    <w:tmpl w:val="7C7878AA"/>
    <w:lvl w:ilvl="0" w:tplc="9B42DFE8">
      <w:start w:val="1"/>
      <w:numFmt w:val="decimal"/>
      <w:lvlText w:val="%1)"/>
      <w:lvlJc w:val="left"/>
      <w:pPr>
        <w:ind w:left="1789" w:hanging="360"/>
      </w:pPr>
    </w:lvl>
    <w:lvl w:ilvl="1" w:tplc="7F02DA3A">
      <w:start w:val="1"/>
      <w:numFmt w:val="lowerLetter"/>
      <w:lvlText w:val="%2."/>
      <w:lvlJc w:val="left"/>
      <w:pPr>
        <w:ind w:left="2509" w:hanging="360"/>
      </w:pPr>
    </w:lvl>
    <w:lvl w:ilvl="2" w:tplc="76C4D3B6">
      <w:start w:val="1"/>
      <w:numFmt w:val="lowerRoman"/>
      <w:lvlText w:val="%3."/>
      <w:lvlJc w:val="right"/>
      <w:pPr>
        <w:ind w:left="3229" w:hanging="180"/>
      </w:pPr>
    </w:lvl>
    <w:lvl w:ilvl="3" w:tplc="A178210A">
      <w:start w:val="1"/>
      <w:numFmt w:val="decimal"/>
      <w:lvlText w:val="%4."/>
      <w:lvlJc w:val="left"/>
      <w:pPr>
        <w:ind w:left="3949" w:hanging="360"/>
      </w:pPr>
    </w:lvl>
    <w:lvl w:ilvl="4" w:tplc="05B0804C">
      <w:start w:val="1"/>
      <w:numFmt w:val="lowerLetter"/>
      <w:lvlText w:val="%5."/>
      <w:lvlJc w:val="left"/>
      <w:pPr>
        <w:ind w:left="4669" w:hanging="360"/>
      </w:pPr>
    </w:lvl>
    <w:lvl w:ilvl="5" w:tplc="7D8AAB26">
      <w:start w:val="1"/>
      <w:numFmt w:val="lowerRoman"/>
      <w:lvlText w:val="%6."/>
      <w:lvlJc w:val="right"/>
      <w:pPr>
        <w:ind w:left="5389" w:hanging="180"/>
      </w:pPr>
    </w:lvl>
    <w:lvl w:ilvl="6" w:tplc="75E6927C">
      <w:start w:val="1"/>
      <w:numFmt w:val="decimal"/>
      <w:lvlText w:val="%7."/>
      <w:lvlJc w:val="left"/>
      <w:pPr>
        <w:ind w:left="6109" w:hanging="360"/>
      </w:pPr>
    </w:lvl>
    <w:lvl w:ilvl="7" w:tplc="07246702">
      <w:start w:val="1"/>
      <w:numFmt w:val="lowerLetter"/>
      <w:lvlText w:val="%8."/>
      <w:lvlJc w:val="left"/>
      <w:pPr>
        <w:ind w:left="6829" w:hanging="360"/>
      </w:pPr>
    </w:lvl>
    <w:lvl w:ilvl="8" w:tplc="282A4BD2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574D7800"/>
    <w:multiLevelType w:val="hybridMultilevel"/>
    <w:tmpl w:val="D09EF634"/>
    <w:lvl w:ilvl="0" w:tplc="B1B04AAC">
      <w:start w:val="1"/>
      <w:numFmt w:val="bullet"/>
      <w:lvlText w:val="•"/>
      <w:lvlJc w:val="left"/>
      <w:pPr>
        <w:ind w:left="1485" w:hanging="705"/>
      </w:pPr>
      <w:rPr>
        <w:rFonts w:ascii="Times New Roman" w:eastAsia="Times New Roman" w:hAnsi="Times New Roman"/>
      </w:rPr>
    </w:lvl>
    <w:lvl w:ilvl="1" w:tplc="17DE2230">
      <w:start w:val="1"/>
      <w:numFmt w:val="bullet"/>
      <w:lvlText w:val="o"/>
      <w:lvlJc w:val="left"/>
      <w:pPr>
        <w:ind w:left="1860" w:hanging="360"/>
      </w:pPr>
      <w:rPr>
        <w:rFonts w:ascii="Courier New" w:hAnsi="Courier New"/>
      </w:rPr>
    </w:lvl>
    <w:lvl w:ilvl="2" w:tplc="E97A8928">
      <w:start w:val="1"/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 w:tplc="65E44CC0">
      <w:start w:val="1"/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 w:tplc="F1CCB0F0">
      <w:start w:val="1"/>
      <w:numFmt w:val="bullet"/>
      <w:lvlText w:val="o"/>
      <w:lvlJc w:val="left"/>
      <w:pPr>
        <w:ind w:left="4020" w:hanging="360"/>
      </w:pPr>
      <w:rPr>
        <w:rFonts w:ascii="Courier New" w:hAnsi="Courier New"/>
      </w:rPr>
    </w:lvl>
    <w:lvl w:ilvl="5" w:tplc="6382CE78">
      <w:start w:val="1"/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 w:tplc="5518E490">
      <w:start w:val="1"/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 w:tplc="FD983EB8">
      <w:start w:val="1"/>
      <w:numFmt w:val="bullet"/>
      <w:lvlText w:val="o"/>
      <w:lvlJc w:val="left"/>
      <w:pPr>
        <w:ind w:left="6180" w:hanging="360"/>
      </w:pPr>
      <w:rPr>
        <w:rFonts w:ascii="Courier New" w:hAnsi="Courier New"/>
      </w:rPr>
    </w:lvl>
    <w:lvl w:ilvl="8" w:tplc="8E20E8A4">
      <w:start w:val="1"/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9" w15:restartNumberingAfterBreak="0">
    <w:nsid w:val="584D5677"/>
    <w:multiLevelType w:val="hybridMultilevel"/>
    <w:tmpl w:val="A37685F8"/>
    <w:lvl w:ilvl="0" w:tplc="035896CC">
      <w:start w:val="2015"/>
      <w:numFmt w:val="decimal"/>
      <w:lvlText w:val="%1"/>
      <w:lvlJc w:val="left"/>
      <w:pPr>
        <w:ind w:left="960" w:hanging="600"/>
      </w:pPr>
    </w:lvl>
    <w:lvl w:ilvl="1" w:tplc="A1C0EA14">
      <w:start w:val="1"/>
      <w:numFmt w:val="lowerLetter"/>
      <w:lvlText w:val="%2."/>
      <w:lvlJc w:val="left"/>
      <w:pPr>
        <w:ind w:left="1440" w:hanging="360"/>
      </w:pPr>
    </w:lvl>
    <w:lvl w:ilvl="2" w:tplc="A42E13B0">
      <w:start w:val="1"/>
      <w:numFmt w:val="lowerRoman"/>
      <w:lvlText w:val="%3."/>
      <w:lvlJc w:val="right"/>
      <w:pPr>
        <w:ind w:left="2160" w:hanging="180"/>
      </w:pPr>
    </w:lvl>
    <w:lvl w:ilvl="3" w:tplc="948A1DD0">
      <w:start w:val="1"/>
      <w:numFmt w:val="decimal"/>
      <w:lvlText w:val="%4."/>
      <w:lvlJc w:val="left"/>
      <w:pPr>
        <w:ind w:left="2880" w:hanging="360"/>
      </w:pPr>
    </w:lvl>
    <w:lvl w:ilvl="4" w:tplc="019AB00C">
      <w:start w:val="1"/>
      <w:numFmt w:val="lowerLetter"/>
      <w:lvlText w:val="%5."/>
      <w:lvlJc w:val="left"/>
      <w:pPr>
        <w:ind w:left="3600" w:hanging="360"/>
      </w:pPr>
    </w:lvl>
    <w:lvl w:ilvl="5" w:tplc="2D00D7EC">
      <w:start w:val="1"/>
      <w:numFmt w:val="lowerRoman"/>
      <w:lvlText w:val="%6."/>
      <w:lvlJc w:val="right"/>
      <w:pPr>
        <w:ind w:left="4320" w:hanging="180"/>
      </w:pPr>
    </w:lvl>
    <w:lvl w:ilvl="6" w:tplc="35F8FCE8">
      <w:start w:val="1"/>
      <w:numFmt w:val="decimal"/>
      <w:lvlText w:val="%7."/>
      <w:lvlJc w:val="left"/>
      <w:pPr>
        <w:ind w:left="5040" w:hanging="360"/>
      </w:pPr>
    </w:lvl>
    <w:lvl w:ilvl="7" w:tplc="0D54A1DC">
      <w:start w:val="1"/>
      <w:numFmt w:val="lowerLetter"/>
      <w:lvlText w:val="%8."/>
      <w:lvlJc w:val="left"/>
      <w:pPr>
        <w:ind w:left="5760" w:hanging="360"/>
      </w:pPr>
    </w:lvl>
    <w:lvl w:ilvl="8" w:tplc="E36EB89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A0912"/>
    <w:multiLevelType w:val="hybridMultilevel"/>
    <w:tmpl w:val="3D88E6B4"/>
    <w:lvl w:ilvl="0" w:tplc="3668AD22">
      <w:start w:val="1"/>
      <w:numFmt w:val="decimal"/>
      <w:lvlText w:val="%1."/>
      <w:lvlJc w:val="left"/>
      <w:pPr>
        <w:ind w:left="927" w:hanging="360"/>
      </w:pPr>
    </w:lvl>
    <w:lvl w:ilvl="1" w:tplc="909C2A40">
      <w:start w:val="1"/>
      <w:numFmt w:val="lowerLetter"/>
      <w:lvlText w:val="%2."/>
      <w:lvlJc w:val="left"/>
      <w:pPr>
        <w:ind w:left="1647" w:hanging="360"/>
      </w:pPr>
    </w:lvl>
    <w:lvl w:ilvl="2" w:tplc="4E7C4920">
      <w:start w:val="1"/>
      <w:numFmt w:val="lowerRoman"/>
      <w:lvlText w:val="%3."/>
      <w:lvlJc w:val="right"/>
      <w:pPr>
        <w:ind w:left="2367" w:hanging="180"/>
      </w:pPr>
    </w:lvl>
    <w:lvl w:ilvl="3" w:tplc="9F4EDAAC">
      <w:start w:val="1"/>
      <w:numFmt w:val="decimal"/>
      <w:lvlText w:val="%4."/>
      <w:lvlJc w:val="left"/>
      <w:pPr>
        <w:ind w:left="3087" w:hanging="360"/>
      </w:pPr>
    </w:lvl>
    <w:lvl w:ilvl="4" w:tplc="AD16980E">
      <w:start w:val="1"/>
      <w:numFmt w:val="lowerLetter"/>
      <w:lvlText w:val="%5."/>
      <w:lvlJc w:val="left"/>
      <w:pPr>
        <w:ind w:left="3807" w:hanging="360"/>
      </w:pPr>
    </w:lvl>
    <w:lvl w:ilvl="5" w:tplc="C494FADA">
      <w:start w:val="1"/>
      <w:numFmt w:val="lowerRoman"/>
      <w:lvlText w:val="%6."/>
      <w:lvlJc w:val="right"/>
      <w:pPr>
        <w:ind w:left="4527" w:hanging="180"/>
      </w:pPr>
    </w:lvl>
    <w:lvl w:ilvl="6" w:tplc="0ABEA086">
      <w:start w:val="1"/>
      <w:numFmt w:val="decimal"/>
      <w:lvlText w:val="%7."/>
      <w:lvlJc w:val="left"/>
      <w:pPr>
        <w:ind w:left="5247" w:hanging="360"/>
      </w:pPr>
    </w:lvl>
    <w:lvl w:ilvl="7" w:tplc="C1F08C66">
      <w:start w:val="1"/>
      <w:numFmt w:val="lowerLetter"/>
      <w:lvlText w:val="%8."/>
      <w:lvlJc w:val="left"/>
      <w:pPr>
        <w:ind w:left="5967" w:hanging="360"/>
      </w:pPr>
    </w:lvl>
    <w:lvl w:ilvl="8" w:tplc="AB788526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89248D"/>
    <w:multiLevelType w:val="hybridMultilevel"/>
    <w:tmpl w:val="D4962C70"/>
    <w:lvl w:ilvl="0" w:tplc="1C52D92C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 w:tplc="292031C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6C6C32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5D2AAD7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5A4C0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CE74BEE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6AB646A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19042C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22C747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6050216C"/>
    <w:multiLevelType w:val="hybridMultilevel"/>
    <w:tmpl w:val="CAA81A56"/>
    <w:lvl w:ilvl="0" w:tplc="D38AEDB8">
      <w:start w:val="2015"/>
      <w:numFmt w:val="decimal"/>
      <w:lvlText w:val="%1"/>
      <w:lvlJc w:val="left"/>
      <w:pPr>
        <w:ind w:left="960" w:hanging="600"/>
      </w:pPr>
    </w:lvl>
    <w:lvl w:ilvl="1" w:tplc="364EB006">
      <w:start w:val="1"/>
      <w:numFmt w:val="lowerLetter"/>
      <w:lvlText w:val="%2."/>
      <w:lvlJc w:val="left"/>
      <w:pPr>
        <w:ind w:left="1440" w:hanging="360"/>
      </w:pPr>
    </w:lvl>
    <w:lvl w:ilvl="2" w:tplc="42BED412">
      <w:start w:val="1"/>
      <w:numFmt w:val="lowerRoman"/>
      <w:lvlText w:val="%3."/>
      <w:lvlJc w:val="right"/>
      <w:pPr>
        <w:ind w:left="2160" w:hanging="180"/>
      </w:pPr>
    </w:lvl>
    <w:lvl w:ilvl="3" w:tplc="2E7EFAC4">
      <w:start w:val="1"/>
      <w:numFmt w:val="decimal"/>
      <w:lvlText w:val="%4."/>
      <w:lvlJc w:val="left"/>
      <w:pPr>
        <w:ind w:left="2880" w:hanging="360"/>
      </w:pPr>
    </w:lvl>
    <w:lvl w:ilvl="4" w:tplc="B8E248EC">
      <w:start w:val="1"/>
      <w:numFmt w:val="lowerLetter"/>
      <w:lvlText w:val="%5."/>
      <w:lvlJc w:val="left"/>
      <w:pPr>
        <w:ind w:left="3600" w:hanging="360"/>
      </w:pPr>
    </w:lvl>
    <w:lvl w:ilvl="5" w:tplc="D3947B5A">
      <w:start w:val="1"/>
      <w:numFmt w:val="lowerRoman"/>
      <w:lvlText w:val="%6."/>
      <w:lvlJc w:val="right"/>
      <w:pPr>
        <w:ind w:left="4320" w:hanging="180"/>
      </w:pPr>
    </w:lvl>
    <w:lvl w:ilvl="6" w:tplc="A76C7CF6">
      <w:start w:val="1"/>
      <w:numFmt w:val="decimal"/>
      <w:lvlText w:val="%7."/>
      <w:lvlJc w:val="left"/>
      <w:pPr>
        <w:ind w:left="5040" w:hanging="360"/>
      </w:pPr>
    </w:lvl>
    <w:lvl w:ilvl="7" w:tplc="6A301EB6">
      <w:start w:val="1"/>
      <w:numFmt w:val="lowerLetter"/>
      <w:lvlText w:val="%8."/>
      <w:lvlJc w:val="left"/>
      <w:pPr>
        <w:ind w:left="5760" w:hanging="360"/>
      </w:pPr>
    </w:lvl>
    <w:lvl w:ilvl="8" w:tplc="91F8668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369F7"/>
    <w:multiLevelType w:val="hybridMultilevel"/>
    <w:tmpl w:val="05BA16EC"/>
    <w:lvl w:ilvl="0" w:tplc="A9280084">
      <w:start w:val="1"/>
      <w:numFmt w:val="decimal"/>
      <w:pStyle w:val="a"/>
      <w:lvlText w:val="%1."/>
      <w:lvlJc w:val="left"/>
      <w:pPr>
        <w:ind w:left="720" w:hanging="360"/>
      </w:pPr>
    </w:lvl>
    <w:lvl w:ilvl="1" w:tplc="446C3906">
      <w:start w:val="1"/>
      <w:numFmt w:val="lowerLetter"/>
      <w:lvlText w:val="%2."/>
      <w:lvlJc w:val="left"/>
      <w:pPr>
        <w:ind w:left="1440" w:hanging="360"/>
      </w:pPr>
    </w:lvl>
    <w:lvl w:ilvl="2" w:tplc="1346A7C2">
      <w:start w:val="1"/>
      <w:numFmt w:val="lowerRoman"/>
      <w:lvlText w:val="%3."/>
      <w:lvlJc w:val="right"/>
      <w:pPr>
        <w:ind w:left="2160" w:hanging="180"/>
      </w:pPr>
    </w:lvl>
    <w:lvl w:ilvl="3" w:tplc="6D00270A">
      <w:start w:val="1"/>
      <w:numFmt w:val="decimal"/>
      <w:lvlText w:val="%4."/>
      <w:lvlJc w:val="left"/>
      <w:pPr>
        <w:ind w:left="2880" w:hanging="360"/>
      </w:pPr>
    </w:lvl>
    <w:lvl w:ilvl="4" w:tplc="179E7432">
      <w:start w:val="1"/>
      <w:numFmt w:val="lowerLetter"/>
      <w:lvlText w:val="%5."/>
      <w:lvlJc w:val="left"/>
      <w:pPr>
        <w:ind w:left="3600" w:hanging="360"/>
      </w:pPr>
    </w:lvl>
    <w:lvl w:ilvl="5" w:tplc="0186E4AE">
      <w:start w:val="1"/>
      <w:numFmt w:val="lowerRoman"/>
      <w:lvlText w:val="%6."/>
      <w:lvlJc w:val="right"/>
      <w:pPr>
        <w:ind w:left="4320" w:hanging="180"/>
      </w:pPr>
    </w:lvl>
    <w:lvl w:ilvl="6" w:tplc="7E18DBF2">
      <w:start w:val="1"/>
      <w:numFmt w:val="decimal"/>
      <w:lvlText w:val="%7."/>
      <w:lvlJc w:val="left"/>
      <w:pPr>
        <w:ind w:left="5040" w:hanging="360"/>
      </w:pPr>
    </w:lvl>
    <w:lvl w:ilvl="7" w:tplc="6366CBF0">
      <w:start w:val="1"/>
      <w:numFmt w:val="lowerLetter"/>
      <w:lvlText w:val="%8."/>
      <w:lvlJc w:val="left"/>
      <w:pPr>
        <w:ind w:left="5760" w:hanging="360"/>
      </w:pPr>
    </w:lvl>
    <w:lvl w:ilvl="8" w:tplc="4DA29BE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11BB5"/>
    <w:multiLevelType w:val="multilevel"/>
    <w:tmpl w:val="7F5C48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D674FDD"/>
    <w:multiLevelType w:val="hybridMultilevel"/>
    <w:tmpl w:val="256CE5A8"/>
    <w:lvl w:ilvl="0" w:tplc="214EEDD0">
      <w:start w:val="1"/>
      <w:numFmt w:val="decimal"/>
      <w:lvlText w:val="%1)"/>
      <w:lvlJc w:val="left"/>
      <w:pPr>
        <w:ind w:left="1080" w:hanging="360"/>
      </w:pPr>
    </w:lvl>
    <w:lvl w:ilvl="1" w:tplc="D27209D8">
      <w:start w:val="1"/>
      <w:numFmt w:val="lowerLetter"/>
      <w:lvlText w:val="%2."/>
      <w:lvlJc w:val="left"/>
      <w:pPr>
        <w:ind w:left="1800" w:hanging="360"/>
      </w:pPr>
    </w:lvl>
    <w:lvl w:ilvl="2" w:tplc="F3826842">
      <w:start w:val="1"/>
      <w:numFmt w:val="lowerRoman"/>
      <w:lvlText w:val="%3."/>
      <w:lvlJc w:val="right"/>
      <w:pPr>
        <w:ind w:left="2520" w:hanging="180"/>
      </w:pPr>
    </w:lvl>
    <w:lvl w:ilvl="3" w:tplc="284EB732">
      <w:start w:val="1"/>
      <w:numFmt w:val="decimal"/>
      <w:lvlText w:val="%4."/>
      <w:lvlJc w:val="left"/>
      <w:pPr>
        <w:ind w:left="3240" w:hanging="360"/>
      </w:pPr>
    </w:lvl>
    <w:lvl w:ilvl="4" w:tplc="69204C76">
      <w:start w:val="1"/>
      <w:numFmt w:val="lowerLetter"/>
      <w:lvlText w:val="%5."/>
      <w:lvlJc w:val="left"/>
      <w:pPr>
        <w:ind w:left="3960" w:hanging="360"/>
      </w:pPr>
    </w:lvl>
    <w:lvl w:ilvl="5" w:tplc="AA981EC2">
      <w:start w:val="1"/>
      <w:numFmt w:val="lowerRoman"/>
      <w:lvlText w:val="%6."/>
      <w:lvlJc w:val="right"/>
      <w:pPr>
        <w:ind w:left="4680" w:hanging="180"/>
      </w:pPr>
    </w:lvl>
    <w:lvl w:ilvl="6" w:tplc="5D98F9D2">
      <w:start w:val="1"/>
      <w:numFmt w:val="decimal"/>
      <w:lvlText w:val="%7."/>
      <w:lvlJc w:val="left"/>
      <w:pPr>
        <w:ind w:left="5400" w:hanging="360"/>
      </w:pPr>
    </w:lvl>
    <w:lvl w:ilvl="7" w:tplc="8FE6F01C">
      <w:start w:val="1"/>
      <w:numFmt w:val="lowerLetter"/>
      <w:lvlText w:val="%8."/>
      <w:lvlJc w:val="left"/>
      <w:pPr>
        <w:ind w:left="6120" w:hanging="360"/>
      </w:pPr>
    </w:lvl>
    <w:lvl w:ilvl="8" w:tplc="F662AD10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583773"/>
    <w:multiLevelType w:val="hybridMultilevel"/>
    <w:tmpl w:val="DFFECF4E"/>
    <w:lvl w:ilvl="0" w:tplc="653E81C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305CA56A">
      <w:start w:val="1"/>
      <w:numFmt w:val="bullet"/>
      <w:lvlText w:val=""/>
      <w:lvlJc w:val="left"/>
      <w:pPr>
        <w:ind w:left="1785" w:hanging="360"/>
      </w:pPr>
      <w:rPr>
        <w:rFonts w:ascii="Symbol" w:hAnsi="Symbol"/>
      </w:rPr>
    </w:lvl>
    <w:lvl w:ilvl="2" w:tplc="4BC64DD0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8C9CCF86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EFF2DF0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3ACE4CBE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77B6DEFE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3FD40022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593E19A2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8"/>
  </w:num>
  <w:num w:numId="4">
    <w:abstractNumId w:val="26"/>
  </w:num>
  <w:num w:numId="5">
    <w:abstractNumId w:val="7"/>
  </w:num>
  <w:num w:numId="6">
    <w:abstractNumId w:val="1"/>
  </w:num>
  <w:num w:numId="7">
    <w:abstractNumId w:val="9"/>
  </w:num>
  <w:num w:numId="8">
    <w:abstractNumId w:val="19"/>
  </w:num>
  <w:num w:numId="9">
    <w:abstractNumId w:val="22"/>
  </w:num>
  <w:num w:numId="10">
    <w:abstractNumId w:val="14"/>
  </w:num>
  <w:num w:numId="11">
    <w:abstractNumId w:val="8"/>
  </w:num>
  <w:num w:numId="12">
    <w:abstractNumId w:val="3"/>
  </w:num>
  <w:num w:numId="13">
    <w:abstractNumId w:val="25"/>
  </w:num>
  <w:num w:numId="14">
    <w:abstractNumId w:val="0"/>
  </w:num>
  <w:num w:numId="15">
    <w:abstractNumId w:val="21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3"/>
  </w:num>
  <w:num w:numId="21">
    <w:abstractNumId w:val="6"/>
  </w:num>
  <w:num w:numId="22">
    <w:abstractNumId w:val="15"/>
  </w:num>
  <w:num w:numId="23">
    <w:abstractNumId w:val="2"/>
  </w:num>
  <w:num w:numId="24">
    <w:abstractNumId w:val="23"/>
  </w:num>
  <w:num w:numId="25">
    <w:abstractNumId w:val="12"/>
  </w:num>
  <w:num w:numId="26">
    <w:abstractNumId w:val="1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52"/>
    <w:rsid w:val="00A77652"/>
    <w:rsid w:val="00E9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4F40"/>
  <w15:docId w15:val="{5DBEF2C9-CADC-4269-BD47-57134C21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eastAsia="ru-RU"/>
    </w:rPr>
  </w:style>
  <w:style w:type="paragraph" w:styleId="1">
    <w:name w:val="heading 1"/>
    <w:basedOn w:val="a0"/>
    <w:next w:val="a0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1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0"/>
    <w:next w:val="a0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0"/>
    <w:link w:val="a7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0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0"/>
    <w:link w:val="ad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2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0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rPr>
      <w:vertAlign w:val="superscript"/>
    </w:rPr>
  </w:style>
  <w:style w:type="paragraph" w:styleId="af4">
    <w:name w:val="endnote text"/>
    <w:basedOn w:val="a0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</w:style>
  <w:style w:type="character" w:customStyle="1" w:styleId="31">
    <w:name w:val="Заголовок 3 Знак1"/>
    <w:link w:val="3"/>
    <w:rPr>
      <w:sz w:val="28"/>
      <w:lang w:val="ru-RU" w:eastAsia="ru-RU" w:bidi="ar-SA"/>
    </w:rPr>
  </w:style>
  <w:style w:type="paragraph" w:styleId="25">
    <w:name w:val="Body Text 2"/>
    <w:basedOn w:val="a0"/>
    <w:rPr>
      <w:sz w:val="28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af9">
    <w:name w:val="Верхний колонтитул;Знак"/>
    <w:basedOn w:val="a0"/>
    <w:link w:val="120"/>
    <w:uiPriority w:val="99"/>
    <w:pPr>
      <w:tabs>
        <w:tab w:val="center" w:pos="4677"/>
        <w:tab w:val="right" w:pos="9355"/>
      </w:tabs>
    </w:pPr>
  </w:style>
  <w:style w:type="character" w:customStyle="1" w:styleId="120">
    <w:name w:val="Верхний колонтитул Знак1;Знак Знак2"/>
    <w:link w:val="af9"/>
    <w:rPr>
      <w:lang w:val="ru-RU" w:eastAsia="ru-RU" w:bidi="ar-SA"/>
    </w:rPr>
  </w:style>
  <w:style w:type="character" w:styleId="afa">
    <w:name w:val="page number"/>
    <w:basedOn w:val="a1"/>
  </w:style>
  <w:style w:type="character" w:customStyle="1" w:styleId="ad">
    <w:name w:val="Нижний колонтитул Знак"/>
    <w:link w:val="ac"/>
    <w:uiPriority w:val="99"/>
    <w:rPr>
      <w:lang w:val="ru-RU" w:eastAsia="ru-RU" w:bidi="ar-SA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 w:cs="Arial"/>
      <w:lang w:eastAsia="ru-RU"/>
    </w:rPr>
  </w:style>
  <w:style w:type="character" w:styleId="afb">
    <w:name w:val="Strong"/>
    <w:qFormat/>
    <w:rPr>
      <w:b/>
      <w:bCs/>
    </w:rPr>
  </w:style>
  <w:style w:type="paragraph" w:customStyle="1" w:styleId="Web">
    <w:name w:val="Обычный (веб);Обычный (Web)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ru-RU"/>
    </w:rPr>
  </w:style>
  <w:style w:type="paragraph" w:styleId="afc">
    <w:name w:val="Body Text"/>
    <w:basedOn w:val="a0"/>
    <w:link w:val="13"/>
    <w:pPr>
      <w:spacing w:after="120"/>
    </w:pPr>
    <w:rPr>
      <w:sz w:val="24"/>
      <w:szCs w:val="24"/>
    </w:rPr>
  </w:style>
  <w:style w:type="character" w:customStyle="1" w:styleId="13">
    <w:name w:val="Основной текст Знак1"/>
    <w:link w:val="afc"/>
    <w:rPr>
      <w:sz w:val="24"/>
      <w:szCs w:val="24"/>
      <w:lang w:val="ru-RU" w:eastAsia="ru-RU" w:bidi="ar-SA"/>
    </w:rPr>
  </w:style>
  <w:style w:type="paragraph" w:styleId="afd">
    <w:name w:val="Body Text Indent"/>
    <w:basedOn w:val="a0"/>
    <w:pPr>
      <w:spacing w:after="120"/>
      <w:ind w:left="283"/>
    </w:pPr>
  </w:style>
  <w:style w:type="paragraph" w:customStyle="1" w:styleId="afe">
    <w:name w:val="Стиль Знак"/>
    <w:basedOn w:val="a0"/>
    <w:rPr>
      <w:rFonts w:ascii="Verdana" w:hAnsi="Verdana" w:cs="Verdana"/>
      <w:lang w:val="en-US" w:eastAsia="en-US"/>
    </w:rPr>
  </w:style>
  <w:style w:type="paragraph" w:customStyle="1" w:styleId="14">
    <w:name w:val="Знак1"/>
    <w:basedOn w:val="a0"/>
    <w:pPr>
      <w:spacing w:after="160" w:line="240" w:lineRule="exact"/>
    </w:pPr>
    <w:rPr>
      <w:rFonts w:ascii="Verdana" w:hAnsi="Verdana"/>
      <w:lang w:val="en-US" w:eastAsia="en-US"/>
    </w:rPr>
  </w:style>
  <w:style w:type="paragraph" w:styleId="aff">
    <w:name w:val="List Paragraph"/>
    <w:basedOn w:val="a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styleId="26">
    <w:name w:val="Body Text Indent 2"/>
    <w:basedOn w:val="a0"/>
    <w:link w:val="27"/>
    <w:pPr>
      <w:spacing w:after="120" w:line="480" w:lineRule="auto"/>
      <w:ind w:left="283" w:firstLine="709"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rPr>
      <w:rFonts w:cs="Times New Roman"/>
      <w:sz w:val="24"/>
      <w:szCs w:val="24"/>
    </w:rPr>
  </w:style>
  <w:style w:type="character" w:customStyle="1" w:styleId="28">
    <w:name w:val="Знак Знак2"/>
    <w:rPr>
      <w:sz w:val="24"/>
      <w:szCs w:val="24"/>
      <w:lang w:val="ru-RU" w:eastAsia="ru-RU" w:bidi="ar-SA"/>
    </w:rPr>
  </w:style>
  <w:style w:type="paragraph" w:styleId="aff0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L999">
    <w:name w:val="! L=999 !"/>
    <w:basedOn w:val="a0"/>
  </w:style>
  <w:style w:type="paragraph" w:customStyle="1" w:styleId="aff1">
    <w:name w:val="Подпрограммы"/>
    <w:pPr>
      <w:jc w:val="center"/>
    </w:pPr>
    <w:rPr>
      <w:rFonts w:eastAsia="ヒラギノ角ゴ Pro W3"/>
      <w:b/>
      <w:i/>
      <w:color w:val="000000"/>
      <w:sz w:val="28"/>
      <w:lang w:eastAsia="ru-RU"/>
    </w:rPr>
  </w:style>
  <w:style w:type="character" w:customStyle="1" w:styleId="aff2">
    <w:name w:val="Символ сноски"/>
    <w:rPr>
      <w:vertAlign w:val="superscript"/>
    </w:rPr>
  </w:style>
  <w:style w:type="paragraph" w:customStyle="1" w:styleId="singlespace">
    <w:name w:val="Текст сноски;single space"/>
    <w:basedOn w:val="a0"/>
    <w:link w:val="singlespace0"/>
    <w:rPr>
      <w:lang w:eastAsia="ar-SA"/>
    </w:rPr>
  </w:style>
  <w:style w:type="character" w:customStyle="1" w:styleId="singlespace0">
    <w:name w:val="Текст сноски Знак;single space Знак"/>
    <w:link w:val="singlespace"/>
    <w:semiHidden/>
    <w:rPr>
      <w:lang w:val="ru-RU" w:eastAsia="ar-SA" w:bidi="ar-SA"/>
    </w:rPr>
  </w:style>
  <w:style w:type="paragraph" w:customStyle="1" w:styleId="aff3">
    <w:name w:val="Название"/>
    <w:basedOn w:val="a0"/>
    <w:next w:val="a6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ff4">
    <w:name w:val="No Spacing"/>
    <w:rPr>
      <w:rFonts w:ascii="Calibri" w:eastAsia="Calibri" w:hAnsi="Calibri"/>
      <w:sz w:val="22"/>
      <w:szCs w:val="22"/>
      <w:lang w:eastAsia="ru-RU"/>
    </w:rPr>
  </w:style>
  <w:style w:type="paragraph" w:customStyle="1" w:styleId="p2">
    <w:name w:val="p2"/>
    <w:basedOn w:val="a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0"/>
    <w:pPr>
      <w:jc w:val="both"/>
    </w:pPr>
    <w:rPr>
      <w:sz w:val="28"/>
      <w:szCs w:val="28"/>
    </w:rPr>
  </w:style>
  <w:style w:type="paragraph" w:customStyle="1" w:styleId="aff5">
    <w:name w:val="Номер"/>
    <w:basedOn w:val="a0"/>
    <w:pPr>
      <w:jc w:val="center"/>
    </w:pPr>
    <w:rPr>
      <w:sz w:val="28"/>
    </w:rPr>
  </w:style>
  <w:style w:type="paragraph" w:customStyle="1" w:styleId="aff6">
    <w:name w:val="Таблицы (моноширинный)"/>
    <w:basedOn w:val="a0"/>
    <w:next w:val="a0"/>
    <w:pPr>
      <w:widowControl w:val="0"/>
      <w:jc w:val="both"/>
    </w:pPr>
    <w:rPr>
      <w:rFonts w:ascii="Courier New" w:eastAsia="Calibri" w:hAnsi="Courier New" w:cs="Courier New"/>
    </w:rPr>
  </w:style>
  <w:style w:type="character" w:customStyle="1" w:styleId="15">
    <w:name w:val="Знак Знак1"/>
    <w:rPr>
      <w:rFonts w:cs="Times New Roman"/>
      <w:sz w:val="28"/>
      <w:szCs w:val="28"/>
      <w:lang w:val="ru-RU" w:eastAsia="ru-RU"/>
    </w:rPr>
  </w:style>
  <w:style w:type="paragraph" w:customStyle="1" w:styleId="aff7">
    <w:name w:val="Таблица центр"/>
    <w:basedOn w:val="a0"/>
    <w:pPr>
      <w:spacing w:before="80" w:after="80"/>
      <w:jc w:val="center"/>
    </w:pPr>
    <w:rPr>
      <w:rFonts w:ascii="Arial" w:hAnsi="Arial"/>
      <w:sz w:val="18"/>
    </w:rPr>
  </w:style>
  <w:style w:type="paragraph" w:customStyle="1" w:styleId="0">
    <w:name w:val="Таблица 0"/>
    <w:basedOn w:val="a0"/>
    <w:pPr>
      <w:spacing w:before="80" w:after="80"/>
    </w:pPr>
    <w:rPr>
      <w:rFonts w:ascii="Arial" w:hAnsi="Arial"/>
      <w:sz w:val="18"/>
    </w:rPr>
  </w:style>
  <w:style w:type="paragraph" w:customStyle="1" w:styleId="05">
    <w:name w:val="Таблица 0.5"/>
    <w:basedOn w:val="0"/>
    <w:pPr>
      <w:ind w:left="284"/>
    </w:pPr>
  </w:style>
  <w:style w:type="paragraph" w:customStyle="1" w:styleId="16">
    <w:name w:val="Таблица 1"/>
    <w:basedOn w:val="05"/>
    <w:pPr>
      <w:ind w:left="567"/>
    </w:pPr>
  </w:style>
  <w:style w:type="paragraph" w:customStyle="1" w:styleId="0-">
    <w:name w:val="Таблица 0-ж"/>
    <w:basedOn w:val="0"/>
    <w:rPr>
      <w:b/>
    </w:rPr>
  </w:style>
  <w:style w:type="paragraph" w:styleId="34">
    <w:name w:val="Body Text 3"/>
    <w:basedOn w:val="a0"/>
    <w:pPr>
      <w:spacing w:after="120"/>
    </w:pPr>
    <w:rPr>
      <w:sz w:val="16"/>
      <w:szCs w:val="16"/>
    </w:rPr>
  </w:style>
  <w:style w:type="paragraph" w:customStyle="1" w:styleId="FreeForm">
    <w:name w:val="Free Form"/>
    <w:rPr>
      <w:rFonts w:ascii="Helvetica" w:hAnsi="Helvetica" w:cs="Helvetica"/>
      <w:color w:val="000000"/>
      <w:sz w:val="24"/>
      <w:szCs w:val="24"/>
      <w:lang w:eastAsia="ru-RU"/>
    </w:rPr>
  </w:style>
  <w:style w:type="character" w:customStyle="1" w:styleId="aff8">
    <w:name w:val="Знак Знак;Верхний колонтитул Знак"/>
    <w:uiPriority w:val="99"/>
    <w:rPr>
      <w:sz w:val="24"/>
      <w:szCs w:val="24"/>
      <w:lang w:val="ru-RU" w:eastAsia="ru-RU" w:bidi="ar-SA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character" w:customStyle="1" w:styleId="29">
    <w:name w:val="Знак Знак Знак2"/>
    <w:rPr>
      <w:sz w:val="28"/>
      <w:lang w:val="ru-RU" w:eastAsia="ru-RU" w:bidi="ar-SA"/>
    </w:rPr>
  </w:style>
  <w:style w:type="character" w:customStyle="1" w:styleId="35">
    <w:name w:val="Заголовок 3 Знак"/>
    <w:rPr>
      <w:rFonts w:cs="Times New Roman"/>
      <w:sz w:val="28"/>
    </w:rPr>
  </w:style>
  <w:style w:type="character" w:customStyle="1" w:styleId="aff9">
    <w:name w:val="Основной текст Знак"/>
    <w:rPr>
      <w:rFonts w:cs="Times New Roman"/>
      <w:sz w:val="24"/>
    </w:rPr>
  </w:style>
  <w:style w:type="character" w:customStyle="1" w:styleId="121">
    <w:name w:val="Заголовок №1 (2)_"/>
    <w:link w:val="122"/>
    <w:rPr>
      <w:sz w:val="27"/>
      <w:szCs w:val="27"/>
      <w:lang w:bidi="ar-SA"/>
    </w:rPr>
  </w:style>
  <w:style w:type="paragraph" w:customStyle="1" w:styleId="122">
    <w:name w:val="Заголовок №1 (2)"/>
    <w:basedOn w:val="a0"/>
    <w:link w:val="121"/>
    <w:pPr>
      <w:shd w:val="clear" w:color="auto" w:fill="FFFFFF"/>
      <w:spacing w:line="322" w:lineRule="exact"/>
      <w:outlineLvl w:val="0"/>
    </w:pPr>
    <w:rPr>
      <w:sz w:val="27"/>
      <w:szCs w:val="27"/>
      <w:lang w:val="en-US" w:eastAsia="en-US"/>
    </w:rPr>
  </w:style>
  <w:style w:type="paragraph" w:customStyle="1" w:styleId="FR1">
    <w:name w:val="FR1"/>
    <w:pPr>
      <w:widowControl w:val="0"/>
      <w:spacing w:line="260" w:lineRule="auto"/>
      <w:ind w:firstLine="720"/>
      <w:jc w:val="both"/>
    </w:pPr>
    <w:rPr>
      <w:sz w:val="28"/>
      <w:lang w:eastAsia="ru-RU"/>
    </w:rPr>
  </w:style>
  <w:style w:type="paragraph" w:customStyle="1" w:styleId="msonormalcxspmiddle">
    <w:name w:val="msonormalcxspmiddle"/>
    <w:basedOn w:val="a0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0">
    <w:name w:val="msolistparagraph"/>
    <w:basedOn w:val="a0"/>
    <w:pPr>
      <w:ind w:left="720"/>
    </w:pPr>
    <w:rPr>
      <w:rFonts w:eastAsia="Calibri"/>
    </w:rPr>
  </w:style>
  <w:style w:type="character" w:customStyle="1" w:styleId="27">
    <w:name w:val="Основной текст с отступом 2 Знак"/>
    <w:link w:val="26"/>
    <w:rPr>
      <w:rFonts w:ascii="Calibri" w:eastAsia="Calibri" w:hAnsi="Calibri"/>
      <w:sz w:val="22"/>
      <w:szCs w:val="22"/>
      <w:lang w:eastAsia="en-US"/>
    </w:rPr>
  </w:style>
  <w:style w:type="character" w:customStyle="1" w:styleId="affa">
    <w:name w:val="номер страницы"/>
    <w:uiPriority w:val="99"/>
    <w:rPr>
      <w:rFonts w:cs="Times New Roman"/>
    </w:rPr>
  </w:style>
  <w:style w:type="character" w:customStyle="1" w:styleId="ConsPlusNormal0">
    <w:name w:val="ConsPlusNormal Знак"/>
    <w:link w:val="ConsPlusNormal"/>
    <w:rPr>
      <w:rFonts w:ascii="Arial" w:hAnsi="Arial" w:cs="Arial"/>
      <w:lang w:val="ru-RU" w:eastAsia="ru-RU" w:bidi="ar-SA"/>
    </w:rPr>
  </w:style>
  <w:style w:type="character" w:styleId="affb">
    <w:name w:val="annotation reference"/>
    <w:uiPriority w:val="99"/>
    <w:semiHidden/>
    <w:unhideWhenUsed/>
    <w:rPr>
      <w:sz w:val="16"/>
      <w:szCs w:val="16"/>
    </w:rPr>
  </w:style>
  <w:style w:type="paragraph" w:styleId="affc">
    <w:name w:val="annotation text"/>
    <w:basedOn w:val="a0"/>
    <w:link w:val="affd"/>
    <w:uiPriority w:val="99"/>
    <w:semiHidden/>
    <w:unhideWhenUsed/>
  </w:style>
  <w:style w:type="character" w:customStyle="1" w:styleId="affd">
    <w:name w:val="Текст примечания Знак"/>
    <w:basedOn w:val="a1"/>
    <w:link w:val="affc"/>
    <w:uiPriority w:val="99"/>
    <w:semiHidden/>
  </w:style>
  <w:style w:type="paragraph" w:styleId="affe">
    <w:name w:val="annotation subject"/>
    <w:basedOn w:val="affc"/>
    <w:next w:val="affc"/>
    <w:link w:val="afff"/>
    <w:uiPriority w:val="99"/>
    <w:semiHidden/>
    <w:unhideWhenUsed/>
    <w:rPr>
      <w:b/>
      <w:bCs/>
    </w:rPr>
  </w:style>
  <w:style w:type="character" w:customStyle="1" w:styleId="afff">
    <w:name w:val="Тема примечания Знак"/>
    <w:link w:val="affe"/>
    <w:uiPriority w:val="99"/>
    <w:semiHidden/>
    <w:rPr>
      <w:b/>
      <w:bCs/>
    </w:rPr>
  </w:style>
  <w:style w:type="paragraph" w:customStyle="1" w:styleId="a">
    <w:name w:val="Общая характеристика / сведения о выполнении ЦИ"/>
    <w:basedOn w:val="a0"/>
    <w:pPr>
      <w:numPr>
        <w:numId w:val="24"/>
      </w:numPr>
      <w:spacing w:line="360" w:lineRule="auto"/>
      <w:jc w:val="center"/>
    </w:pPr>
    <w:rPr>
      <w:b/>
      <w:sz w:val="28"/>
      <w:szCs w:val="28"/>
    </w:rPr>
  </w:style>
  <w:style w:type="paragraph" w:customStyle="1" w:styleId="210">
    <w:name w:val="Основной текст с отступом 21"/>
    <w:basedOn w:val="L9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  <w:ind w:left="283" w:firstLine="709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7651</Words>
  <Characters>43616</Characters>
  <Application>Microsoft Office Word</Application>
  <DocSecurity>0</DocSecurity>
  <Lines>363</Lines>
  <Paragraphs>102</Paragraphs>
  <ScaleCrop>false</ScaleCrop>
  <Company>АГНОиПНО</Company>
  <LinksUpToDate>false</LinksUpToDate>
  <CharactersWithSpaces>51165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 приказом</dc:title>
  <dc:creator>Поликарпова Ксения Александровна</dc:creator>
  <cp:lastModifiedBy>Агафонова Наталья Анатольевна</cp:lastModifiedBy>
  <cp:revision>100</cp:revision>
  <dcterms:created xsi:type="dcterms:W3CDTF">2021-03-30T09:03:00Z</dcterms:created>
  <dcterms:modified xsi:type="dcterms:W3CDTF">2024-04-04T02:49:00Z</dcterms:modified>
  <cp:version>1048576</cp:version>
</cp:coreProperties>
</file>