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Пояснительная записка 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проведению оценки эффективности государственной программы «Стимулирование развития жилищного строительства в Новосибирской области»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  <w14:ligatures w14:val="none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  <w14:ligatures w14:val="none"/>
        </w:rPr>
      </w:r>
      <w:r>
        <w:rPr>
          <w:color w:val="000000" w:themeColor="text1"/>
          <w:sz w:val="28"/>
          <w:szCs w:val="28"/>
          <w14:ligatures w14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14:ligatures w14:val="none"/>
        </w:rPr>
      </w:pPr>
      <w:r>
        <w:rPr>
          <w:color w:val="000000" w:themeColor="text1"/>
          <w:sz w:val="28"/>
          <w:szCs w:val="28"/>
        </w:rPr>
        <w:t xml:space="preserve">Целью программы является </w:t>
      </w:r>
      <w:r>
        <w:rPr>
          <w:color w:val="000000" w:themeColor="text1"/>
          <w:sz w:val="28"/>
          <w:szCs w:val="28"/>
        </w:rPr>
        <w:t xml:space="preserve">создание условий для развития жилищного строительства на территории Новосибирской области с увеличением годового объема ввода жилья до 2,6 млн. кв. метров к 2030 году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  <w14:ligatures w14:val="none"/>
        </w:rPr>
      </w:r>
      <w:r>
        <w:rPr>
          <w:color w:val="000000" w:themeColor="text1"/>
          <w:sz w:val="28"/>
          <w:szCs w:val="28"/>
          <w14:ligatures w14:val="none"/>
        </w:rPr>
      </w:r>
    </w:p>
    <w:p>
      <w:pPr>
        <w:pStyle w:val="852"/>
        <w:numPr>
          <w:ilvl w:val="0"/>
          <w:numId w:val="0"/>
        </w:numPr>
        <w:ind w:left="0" w:firstLine="709"/>
        <w:spacing w:after="0" w:line="240" w:lineRule="auto"/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По итогам 2024 года на территории Новосибирской области введено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в эксплуатацию 2,63 млн. кв.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м жилья. 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Структура введенного в 2024 году в эксплуатацию жилья выглядит следующим образом:</w:t>
      </w:r>
      <w:r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r>
    </w:p>
    <w:p>
      <w:pPr>
        <w:pStyle w:val="852"/>
        <w:numPr>
          <w:ilvl w:val="0"/>
          <w:numId w:val="0"/>
        </w:numPr>
        <w:ind w:left="0" w:firstLine="709"/>
        <w:spacing w:after="0" w:line="240" w:lineRule="auto"/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- 64,1 % от общего объёма ввода приходится на долю многоквартирного 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жилищного строительства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, что в абсолютном выражении составляет 1,685 млн. кв. м (79,6 % к аналогичному периоду 2023 года);</w:t>
      </w:r>
      <w:r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r>
    </w:p>
    <w:p>
      <w:pPr>
        <w:pStyle w:val="852"/>
        <w:numPr>
          <w:ilvl w:val="0"/>
          <w:numId w:val="0"/>
        </w:numPr>
        <w:ind w:left="0" w:firstLine="709"/>
        <w:spacing w:after="0" w:line="240" w:lineRule="auto"/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- 35,9 % от общего объёма приходится на долю индивидуального жилищного строительства, что в абсолютном выражении составляет 0,945 млн.кв.м жилья (105,2 % к аналогичному периоду 2023 года).</w:t>
      </w:r>
      <w:r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Министерством строительства Новосибирской области (далее – министерство) произведен расчет интегральной оценки результативности реализации государственной программы Новосибирской области «Стимулирование развитие жилищного строител</w:t>
      </w:r>
      <w:r>
        <w:rPr>
          <w:color w:val="000000" w:themeColor="text1"/>
          <w:sz w:val="28"/>
          <w:szCs w:val="28"/>
        </w:rPr>
        <w:t xml:space="preserve">ьства в Новосибирской области» (далее – государственная программа) за</w:t>
      </w:r>
      <w:r>
        <w:rPr>
          <w:color w:val="000000" w:themeColor="text1"/>
          <w:sz w:val="28"/>
          <w:szCs w:val="28"/>
        </w:rPr>
        <w:t xml:space="preserve"> 2024 </w:t>
      </w:r>
      <w:r>
        <w:rPr>
          <w:color w:val="000000" w:themeColor="text1"/>
          <w:sz w:val="28"/>
          <w:szCs w:val="28"/>
        </w:rPr>
        <w:t xml:space="preserve">год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white"/>
        </w:rPr>
        <w:t xml:space="preserve">Базовые значения целевых ин</w:t>
      </w:r>
      <w:r>
        <w:rPr>
          <w:color w:val="000000" w:themeColor="text1"/>
          <w:sz w:val="28"/>
          <w:szCs w:val="28"/>
          <w:highlight w:val="white"/>
        </w:rPr>
        <w:t xml:space="preserve">дикаторов принимаются равными фактическим значениям по итогам 2023 года или принимаются равными нулю, так как характеризуют объем проделанной работы в 2024 году, непосредственно зависящей от мероприятий и средств предусмотренных государственной программой.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i/>
          <w:iCs/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1. Интегральная оценка результативности реализации государственной программы по исполнению показателей в 2024 году составила 86,11 % 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(Расчет представлен в Таблице №1).</w:t>
      </w:r>
      <w:r>
        <w:rPr>
          <w:i/>
          <w:iCs/>
          <w:color w:val="000000" w:themeColor="text1"/>
          <w:sz w:val="28"/>
          <w:szCs w:val="28"/>
          <w:highlight w:val="white"/>
        </w:rPr>
      </w:r>
      <w:r>
        <w:rPr>
          <w:i/>
          <w:iCs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В результате проделанной работы в 2024 году не достигнуты плановые значения по следующим показателям: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Количество подготовленной градостроительной документации</w:t>
      </w:r>
      <w:r>
        <w:rPr>
          <w:color w:val="000000" w:themeColor="text1"/>
          <w:sz w:val="28"/>
          <w:szCs w:val="28"/>
          <w:highlight w:val="none"/>
        </w:rPr>
        <w:t xml:space="preserve"> – плановое значение показателя - 147 штук, фактическое значение - 87 штук. </w:t>
      </w:r>
      <w:r>
        <w:rPr>
          <w:color w:val="000000" w:themeColor="text1"/>
          <w:sz w:val="28"/>
          <w:szCs w:val="28"/>
          <w:highlight w:val="none"/>
        </w:rPr>
        <w:t xml:space="preserve">Н</w:t>
      </w:r>
      <w:r>
        <w:rPr>
          <w:color w:val="000000" w:themeColor="text1"/>
          <w:sz w:val="28"/>
          <w:szCs w:val="28"/>
          <w:highlight w:val="none"/>
        </w:rPr>
        <w:t xml:space="preserve">едостижение планового значения показателя обусловлено следующими причинами - образование Татарского муниципального округа Новосибирской области (контракты по 22 проектам градостроительной документации расторгнут по фактически выполненным работам), а также </w:t>
      </w:r>
      <w:r>
        <w:rPr>
          <w:color w:val="000000" w:themeColor="text1"/>
          <w:sz w:val="28"/>
          <w:szCs w:val="28"/>
          <w:highlight w:val="none"/>
        </w:rPr>
        <w:t xml:space="preserve">длительное согласование проектов градостроительной документации в ФГИС ТП</w:t>
      </w:r>
      <w:r>
        <w:rPr>
          <w:color w:val="000000" w:themeColor="text1"/>
          <w:sz w:val="28"/>
          <w:szCs w:val="28"/>
          <w:highlight w:val="none"/>
        </w:rPr>
        <w:t xml:space="preserve">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i/>
          <w:iCs/>
          <w:color w:val="000000" w:themeColor="text1"/>
          <w:sz w:val="28"/>
          <w:szCs w:val="28"/>
          <w:highlight w:val="none"/>
        </w:rPr>
        <w:t xml:space="preserve">Прокси-показатель: 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Количество «проблемных» объектов, обеспеченных лифтами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– плановое значение показателя - 1 единица, фактическое значение - 0 един</w:t>
      </w:r>
      <w:r>
        <w:rPr>
          <w:color w:val="000000" w:themeColor="text1"/>
          <w:sz w:val="28"/>
          <w:szCs w:val="28"/>
          <w:highlight w:val="none"/>
        </w:rPr>
        <w:t xml:space="preserve">иц. </w:t>
      </w:r>
      <w:r>
        <w:rPr>
          <w:color w:val="000000" w:themeColor="text1"/>
          <w:sz w:val="28"/>
          <w:szCs w:val="28"/>
          <w:highlight w:val="none"/>
        </w:rPr>
        <w:t xml:space="preserve">В 2024 году планировалось предоставить субсидию на установку лифтового оборудования жилого дома по ул. Немировича-Данченко, 16/2.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В</w:t>
      </w:r>
      <w:r>
        <w:rPr>
          <w:color w:val="000000" w:themeColor="text1"/>
          <w:sz w:val="28"/>
          <w:szCs w:val="28"/>
          <w:highlight w:val="none"/>
        </w:rPr>
        <w:t xml:space="preserve"> соответствии с постановлением мэрии города Новосибирска № 717 от 09.03.2022 субсидии предоставляются участникам отбора (ЖСК) на основании заявок на предоставление субсидий с приложением документов, подтверждающих выполнение работ. </w:t>
      </w:r>
      <w:r>
        <w:rPr>
          <w:color w:val="000000" w:themeColor="text1"/>
          <w:sz w:val="28"/>
          <w:szCs w:val="28"/>
          <w:highlight w:val="none"/>
        </w:rPr>
        <w:t xml:space="preserve">В 2024 году заявок </w:t>
      </w:r>
      <w:r>
        <w:rPr>
          <w:color w:val="000000" w:themeColor="text1"/>
          <w:sz w:val="28"/>
          <w:szCs w:val="28"/>
          <w:highlight w:val="none"/>
        </w:rPr>
        <w:t xml:space="preserve">от мэрии города Новосибирска</w:t>
      </w:r>
      <w:r>
        <w:rPr>
          <w:color w:val="000000" w:themeColor="text1"/>
          <w:sz w:val="28"/>
          <w:szCs w:val="28"/>
          <w:highlight w:val="none"/>
        </w:rPr>
        <w:t xml:space="preserve"> на фи</w:t>
      </w:r>
      <w:r>
        <w:rPr>
          <w:color w:val="000000" w:themeColor="text1"/>
          <w:sz w:val="28"/>
          <w:szCs w:val="28"/>
          <w:highlight w:val="none"/>
        </w:rPr>
        <w:t xml:space="preserve">нансирование не поступало, в связи с тем, что </w:t>
      </w:r>
      <w:r>
        <w:rPr>
          <w:color w:val="000000" w:themeColor="text1"/>
          <w:sz w:val="28"/>
          <w:szCs w:val="28"/>
          <w:highlight w:val="none"/>
        </w:rPr>
        <w:t xml:space="preserve">денежные средства на установку </w:t>
      </w:r>
      <w:r>
        <w:rPr>
          <w:color w:val="000000" w:themeColor="text1"/>
          <w:sz w:val="28"/>
          <w:szCs w:val="28"/>
          <w:highlight w:val="none"/>
        </w:rPr>
        <w:t xml:space="preserve">лифтового оборудования указанного жилого дома</w:t>
      </w:r>
      <w:r>
        <w:rPr>
          <w:color w:val="000000" w:themeColor="text1"/>
          <w:sz w:val="28"/>
          <w:szCs w:val="28"/>
          <w:highlight w:val="none"/>
        </w:rPr>
        <w:t xml:space="preserve"> были предоставлены в рамках реализации масштабных инвестицион</w:t>
      </w:r>
      <w:r>
        <w:rPr>
          <w:color w:val="000000" w:themeColor="text1"/>
          <w:sz w:val="28"/>
          <w:szCs w:val="28"/>
          <w:highlight w:val="none"/>
        </w:rPr>
        <w:t xml:space="preserve">ных проектов.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Количество граждан, пострадавших от действий недобросовестных застройщиков, получивших субсиди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и</w:t>
      </w:r>
      <w:r>
        <w:rPr>
          <w:color w:val="000000" w:themeColor="text1"/>
          <w:sz w:val="28"/>
          <w:szCs w:val="28"/>
          <w:highlight w:val="none"/>
        </w:rPr>
        <w:t xml:space="preserve"> – плановое значение показателя - 10 человек, фактическое значение показателя - 3 человека. </w:t>
      </w:r>
      <w:r>
        <w:rPr>
          <w:color w:val="000000" w:themeColor="text1"/>
          <w:sz w:val="28"/>
          <w:szCs w:val="28"/>
          <w:highlight w:val="none"/>
        </w:rPr>
        <w:t xml:space="preserve">Недостижение показателя связано с заявительным характером предоставления субсидии, по итогам поданных заявлений в министерство, выплаты предоставлены 3 гражданам</w:t>
      </w:r>
      <w:r>
        <w:rPr>
          <w:color w:val="000000" w:themeColor="text1"/>
          <w:sz w:val="28"/>
          <w:szCs w:val="28"/>
          <w:highlight w:val="none"/>
        </w:rPr>
        <w:t xml:space="preserve">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bCs w:val="0"/>
          <w:i w:val="0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Количество жилых помещений, построенных (приобретенных на первичном рынке) для предоставления отдельным категориям граждан, проживающих и работающих на территории Новосибирской области, в качестве служебного жилья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 – </w:t>
      </w:r>
      <w:r>
        <w:rPr>
          <w:i w:val="0"/>
          <w:iCs w:val="0"/>
          <w:color w:val="000000" w:themeColor="text1"/>
          <w:sz w:val="28"/>
          <w:szCs w:val="28"/>
          <w:highlight w:val="none"/>
        </w:rPr>
        <w:t xml:space="preserve">плановое значение - 120 квартир, фактическое значение - 90 квартир. </w:t>
      </w:r>
      <w:r>
        <w:rPr>
          <w:bCs w:val="0"/>
          <w:i w:val="0"/>
          <w:color w:val="000000" w:themeColor="text1"/>
          <w:sz w:val="28"/>
          <w:szCs w:val="28"/>
        </w:rPr>
      </w:r>
      <w:r>
        <w:rPr>
          <w:bCs w:val="0"/>
          <w:i w:val="0"/>
          <w:color w:val="000000" w:themeColor="text1"/>
          <w:sz w:val="28"/>
          <w:szCs w:val="28"/>
        </w:rPr>
      </w:r>
    </w:p>
    <w:p>
      <w:pPr>
        <w:ind w:firstLine="709"/>
        <w:jc w:val="both"/>
      </w:pPr>
      <w:r>
        <w:rPr>
          <w:color w:val="000000" w:themeColor="text1"/>
          <w:sz w:val="28"/>
          <w:szCs w:val="28"/>
          <w:highlight w:val="none"/>
        </w:rPr>
        <w:t xml:space="preserve">В 2024 году не завершено строительство трех домов:</w:t>
      </w:r>
      <w:r/>
    </w:p>
    <w:p>
      <w:pPr>
        <w:ind w:firstLine="709"/>
        <w:jc w:val="both"/>
      </w:pPr>
      <w:r>
        <w:rPr>
          <w:color w:val="000000" w:themeColor="text1"/>
          <w:sz w:val="28"/>
          <w:szCs w:val="28"/>
          <w:highlight w:val="none"/>
        </w:rPr>
        <w:t xml:space="preserve">Доволенский район: 13-ти квартирный служебный дом;</w:t>
      </w:r>
      <w:r/>
    </w:p>
    <w:p>
      <w:pPr>
        <w:ind w:firstLine="709"/>
        <w:jc w:val="both"/>
      </w:pPr>
      <w:r>
        <w:rPr>
          <w:color w:val="000000" w:themeColor="text1"/>
          <w:sz w:val="28"/>
          <w:szCs w:val="28"/>
          <w:highlight w:val="none"/>
        </w:rPr>
        <w:t xml:space="preserve">Кыштовский район: 12-ти квартирный служебный дом;</w:t>
      </w:r>
      <w:r/>
    </w:p>
    <w:p>
      <w:pPr>
        <w:ind w:firstLine="709"/>
        <w:jc w:val="both"/>
      </w:pPr>
      <w:r>
        <w:rPr>
          <w:color w:val="000000" w:themeColor="text1"/>
          <w:sz w:val="28"/>
          <w:szCs w:val="28"/>
          <w:highlight w:val="none"/>
        </w:rPr>
        <w:t xml:space="preserve">Тогучинский район: 13-ти квартирный дом, в котором 10 служебных квартир.</w:t>
      </w:r>
      <w:r/>
    </w:p>
    <w:p>
      <w:pPr>
        <w:ind w:firstLine="709"/>
        <w:jc w:val="both"/>
      </w:pPr>
      <w:r>
        <w:rPr>
          <w:color w:val="000000" w:themeColor="text1"/>
          <w:sz w:val="28"/>
          <w:szCs w:val="28"/>
          <w:highlight w:val="none"/>
        </w:rPr>
        <w:t xml:space="preserve">В то же время перевыполнен план в Кочковском районе: введены в эксплуатацию 15 служебных квартир вместо 10 запланированных (дополнительные 5 квартир профинансированы из средств местного бюджета).</w:t>
      </w:r>
      <w:r/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Несвоевременный ввод связан с отставанием от графика производства работ, ввиду низких темпов строительства и отсутствия оборотных средств у подрядных организаций.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i/>
          <w:iCs/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2. Средний уровень исполнения мероприятий (результатов) структурных элементов государственной программы, предусмотренных к реализации в 2024 году составил 0,85 при оценке исполнения 10 мероприятий (результатов) 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(Расчет представлен в Таблице №2)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.</w:t>
      </w:r>
      <w:r>
        <w:rPr>
          <w:i/>
          <w:iCs/>
          <w:color w:val="000000" w:themeColor="text1"/>
          <w:sz w:val="28"/>
          <w:szCs w:val="28"/>
          <w:highlight w:val="none"/>
        </w:rPr>
      </w:r>
      <w:r>
        <w:rPr>
          <w:i/>
          <w:iCs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bCs w:val="0"/>
          <w:i/>
          <w:iCs/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3. Плановый объем финансирования государственной программы за счет </w:t>
      </w:r>
      <w:r>
        <w:rPr>
          <w:color w:val="000000" w:themeColor="text1"/>
          <w:sz w:val="28"/>
          <w:szCs w:val="28"/>
          <w:highlight w:val="none"/>
        </w:rPr>
        <w:t xml:space="preserve">средств федерального, областного и местного бюджетов составил </w:t>
      </w:r>
      <w:r>
        <w:rPr>
          <w:color w:val="000000" w:themeColor="text1"/>
          <w:sz w:val="28"/>
          <w:szCs w:val="28"/>
          <w:highlight w:val="none"/>
        </w:rPr>
        <w:t xml:space="preserve">7 817 723,55</w:t>
      </w:r>
      <w:r>
        <w:rPr>
          <w:color w:val="000000" w:themeColor="text1"/>
          <w:sz w:val="28"/>
          <w:szCs w:val="28"/>
          <w:highlight w:val="none"/>
        </w:rPr>
        <w:t xml:space="preserve"> тыс. рублей 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(в соответствии со сводной бюджетной росписью). </w:t>
      </w:r>
      <w:r>
        <w:rPr>
          <w:i w:val="0"/>
          <w:iCs w:val="0"/>
          <w:color w:val="000000" w:themeColor="text1"/>
          <w:sz w:val="28"/>
          <w:szCs w:val="28"/>
          <w:highlight w:val="none"/>
        </w:rPr>
        <w:t xml:space="preserve">Уровень финансового обеспечения государственной программы составил </w:t>
      </w:r>
      <w:r>
        <w:rPr>
          <w:i w:val="0"/>
          <w:iCs w:val="0"/>
          <w:color w:val="000000" w:themeColor="text1"/>
          <w:sz w:val="28"/>
          <w:szCs w:val="28"/>
          <w:highlight w:val="none"/>
        </w:rPr>
        <w:t xml:space="preserve">92,23</w:t>
      </w:r>
      <w:r>
        <w:rPr>
          <w:i w:val="0"/>
          <w:iCs w:val="0"/>
          <w:color w:val="000000" w:themeColor="text1"/>
          <w:sz w:val="28"/>
          <w:szCs w:val="28"/>
          <w:highlight w:val="none"/>
        </w:rPr>
        <w:t xml:space="preserve"> % 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(Расчет приведен в Таблице №3).</w:t>
      </w:r>
      <w:r>
        <w:rPr>
          <w:bCs w:val="0"/>
          <w:i/>
          <w:iCs/>
          <w:color w:val="000000" w:themeColor="text1"/>
          <w:sz w:val="28"/>
          <w:szCs w:val="28"/>
          <w:highlight w:val="none"/>
        </w:rPr>
      </w:r>
      <w:r>
        <w:rPr>
          <w:bCs w:val="0"/>
          <w:i/>
          <w:iCs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bCs w:val="0"/>
          <w:i w:val="0"/>
          <w:color w:val="000000" w:themeColor="text1"/>
          <w:sz w:val="28"/>
          <w:szCs w:val="28"/>
          <w:highlight w:val="none"/>
        </w:rPr>
      </w:pPr>
      <w:r>
        <w:rPr>
          <w:i w:val="0"/>
          <w:iCs w:val="0"/>
          <w:color w:val="000000" w:themeColor="text1"/>
          <w:sz w:val="28"/>
          <w:szCs w:val="28"/>
          <w:highlight w:val="none"/>
        </w:rPr>
        <w:t xml:space="preserve">Причины значительного отклонения (более 5%) фактических объемов финансирования от плановых по следующим мероприятиям (результатам):</w:t>
      </w:r>
      <w:r>
        <w:rPr>
          <w:bCs w:val="0"/>
          <w:i w:val="0"/>
          <w:color w:val="000000" w:themeColor="text1"/>
          <w:sz w:val="28"/>
          <w:szCs w:val="28"/>
          <w:highlight w:val="none"/>
        </w:rPr>
      </w:r>
      <w:r>
        <w:rPr>
          <w:bCs w:val="0"/>
          <w:i w:val="0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 w:val="0"/>
          <w:i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i/>
          <w:iCs/>
          <w:sz w:val="28"/>
          <w:szCs w:val="28"/>
        </w:rPr>
        <w:t xml:space="preserve">«</w:t>
      </w:r>
      <w:r>
        <w:rPr>
          <w:b w:val="0"/>
          <w:bCs w:val="0"/>
          <w:i/>
          <w:iCs/>
          <w:sz w:val="28"/>
          <w:szCs w:val="28"/>
        </w:rPr>
        <w:t xml:space="preserve">Муниципальные образования Новосибирской области обеспечены актуальной градостроительной документацией</w:t>
      </w:r>
      <w:r>
        <w:rPr>
          <w:b w:val="0"/>
          <w:bCs w:val="0"/>
          <w:i/>
          <w:iCs/>
          <w:sz w:val="28"/>
          <w:szCs w:val="28"/>
        </w:rPr>
        <w:t xml:space="preserve">»</w:t>
      </w:r>
      <w:r>
        <w:rPr>
          <w:i w:val="0"/>
          <w:iCs w:val="0"/>
          <w:color w:val="000000" w:themeColor="text1"/>
          <w:sz w:val="28"/>
          <w:szCs w:val="28"/>
          <w:highlight w:val="none"/>
        </w:rPr>
        <w:t xml:space="preserve"> - </w:t>
      </w:r>
      <w:r>
        <w:rPr>
          <w:sz w:val="28"/>
          <w:szCs w:val="28"/>
        </w:rPr>
        <w:t xml:space="preserve">объем средств областного бюджета в соответствии с СБР составляет 31 697,94 тыс. рублей </w:t>
      </w:r>
      <w:r>
        <w:rPr>
          <w:i/>
          <w:sz w:val="28"/>
          <w:szCs w:val="28"/>
        </w:rPr>
        <w:t xml:space="preserve">(Справочно: МБ - </w:t>
      </w:r>
      <w:r>
        <w:rPr>
          <w:i/>
          <w:sz w:val="28"/>
          <w:szCs w:val="28"/>
        </w:rPr>
        <w:t xml:space="preserve">2 356,16</w:t>
      </w:r>
      <w:r>
        <w:rPr>
          <w:i/>
          <w:sz w:val="28"/>
          <w:szCs w:val="28"/>
        </w:rPr>
        <w:t xml:space="preserve"> тыс. рублей), </w:t>
      </w:r>
      <w:r>
        <w:rPr>
          <w:sz w:val="28"/>
          <w:szCs w:val="28"/>
        </w:rPr>
        <w:t xml:space="preserve">фактическое финансирование из средств областного бюджета составило 25 178,51 тыс. рублей или 79,43 % от СБР </w:t>
      </w:r>
      <w:r>
        <w:rPr>
          <w:i/>
          <w:sz w:val="28"/>
          <w:szCs w:val="28"/>
        </w:rPr>
        <w:t xml:space="preserve">(Справочно: МБ - </w:t>
      </w:r>
      <w:r>
        <w:rPr>
          <w:i/>
          <w:sz w:val="28"/>
          <w:szCs w:val="28"/>
        </w:rPr>
        <w:t xml:space="preserve">2 356,2</w:t>
      </w:r>
      <w:r>
        <w:rPr>
          <w:i/>
          <w:sz w:val="28"/>
          <w:szCs w:val="28"/>
        </w:rPr>
        <w:t xml:space="preserve"> тыс. рублей).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  <w:t xml:space="preserve">П</w:t>
      </w:r>
      <w:r>
        <w:rPr>
          <w:color w:val="000000" w:themeColor="text1"/>
          <w:sz w:val="28"/>
          <w:szCs w:val="28"/>
          <w:highlight w:val="none"/>
        </w:rPr>
        <w:t xml:space="preserve">ричины неисполнения областного бюджета Новосибирской области обусловлены уменьшением стоимости проектов на выполнение работ по подготовке градостроительной документации по результатам проведения аукционов (Баганский, Болотнинский, Каргатский, Колыванский, </w:t>
      </w:r>
      <w:r>
        <w:rPr>
          <w:color w:val="000000" w:themeColor="text1"/>
          <w:sz w:val="28"/>
          <w:szCs w:val="28"/>
          <w:highlight w:val="none"/>
        </w:rPr>
        <w:t xml:space="preserve">К</w:t>
      </w:r>
      <w:r>
        <w:rPr>
          <w:color w:val="000000" w:themeColor="text1"/>
          <w:sz w:val="28"/>
          <w:szCs w:val="28"/>
          <w:highlight w:val="none"/>
        </w:rPr>
        <w:t xml:space="preserve">уйбышевский, Купинский, Кыштовский, Ордынский, Северный, Усть-Таркский, Чистоозерный, Чулымский районы Новосибирской области). Кроме того, ввиду невыполнения работ по контракту на выполнение работ по подготовке Схемы территориального планирования Чановског</w:t>
      </w:r>
      <w:r>
        <w:rPr>
          <w:color w:val="000000" w:themeColor="text1"/>
          <w:sz w:val="28"/>
          <w:szCs w:val="28"/>
          <w:highlight w:val="none"/>
        </w:rPr>
        <w:t xml:space="preserve">о района Новосибирской области в установленные данным контрактом с</w:t>
      </w:r>
      <w:r>
        <w:rPr>
          <w:color w:val="000000" w:themeColor="text1"/>
          <w:sz w:val="28"/>
          <w:szCs w:val="28"/>
          <w:highlight w:val="none"/>
        </w:rPr>
        <w:t xml:space="preserve">рок</w:t>
      </w:r>
      <w:r>
        <w:rPr>
          <w:color w:val="000000" w:themeColor="text1"/>
          <w:sz w:val="28"/>
          <w:szCs w:val="28"/>
          <w:highlight w:val="none"/>
        </w:rPr>
        <w:t xml:space="preserve">и,</w:t>
      </w:r>
      <w:r>
        <w:rPr>
          <w:color w:val="000000" w:themeColor="text1"/>
          <w:sz w:val="28"/>
          <w:szCs w:val="28"/>
          <w:highlight w:val="none"/>
        </w:rPr>
        <w:t xml:space="preserve"> бю</w:t>
      </w:r>
      <w:r>
        <w:rPr>
          <w:color w:val="000000" w:themeColor="text1"/>
          <w:sz w:val="28"/>
          <w:szCs w:val="28"/>
          <w:highlight w:val="none"/>
        </w:rPr>
        <w:t xml:space="preserve">джетные ассигнования в размере 355,3 тыс. рублей администрацией Чановского района Новосибирской области в 2024 году запрошены не были.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i/>
          <w:iCs/>
          <w:sz w:val="28"/>
          <w:szCs w:val="28"/>
        </w:rPr>
        <w:t xml:space="preserve">«Обеспечены объекты незавершенного строительства инженерной инфраструктурой и благоустройством</w:t>
      </w:r>
      <w:r>
        <w:rPr>
          <w:b w:val="0"/>
          <w:bCs w:val="0"/>
          <w:i/>
          <w:iCs/>
          <w:sz w:val="28"/>
          <w:szCs w:val="28"/>
        </w:rPr>
        <w:t xml:space="preserve">»</w:t>
      </w:r>
      <w:r>
        <w:rPr>
          <w:color w:val="000000" w:themeColor="text1"/>
          <w:sz w:val="28"/>
          <w:szCs w:val="28"/>
          <w:highlight w:val="none"/>
        </w:rPr>
        <w:t xml:space="preserve"> - </w:t>
      </w:r>
      <w:r>
        <w:rPr>
          <w:sz w:val="28"/>
          <w:szCs w:val="28"/>
        </w:rPr>
        <w:t xml:space="preserve">объем средств областного бюджета в соответствии с СБР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составляет 134 868,2 тыс. рублей, </w:t>
      </w:r>
      <w:r>
        <w:rPr>
          <w:color w:val="000000"/>
          <w:sz w:val="28"/>
          <w:szCs w:val="28"/>
        </w:rPr>
        <w:t xml:space="preserve">фактическое финансирование из средств областного бюджета составило</w:t>
      </w:r>
      <w:r>
        <w:rPr>
          <w:sz w:val="28"/>
          <w:szCs w:val="28"/>
        </w:rPr>
        <w:t xml:space="preserve"> 82 237,36 тыс. рублей или 60,98% от СБР </w:t>
      </w:r>
      <w:r>
        <w:rPr>
          <w:i/>
          <w:sz w:val="28"/>
          <w:szCs w:val="28"/>
        </w:rPr>
        <w:t xml:space="preserve">(Справочно: МБ факт- 4</w:t>
      </w:r>
      <w:r>
        <w:rPr>
          <w:i/>
          <w:sz w:val="28"/>
          <w:szCs w:val="28"/>
        </w:rPr>
        <w:t xml:space="preserve"> 32</w:t>
      </w:r>
      <w:r>
        <w:rPr>
          <w:i/>
          <w:color w:val="000000" w:themeColor="text1"/>
          <w:sz w:val="28"/>
          <w:szCs w:val="28"/>
        </w:rPr>
        <w:t xml:space="preserve">8,3</w:t>
      </w:r>
      <w:r>
        <w:rPr>
          <w:i/>
          <w:color w:val="000000" w:themeColor="text1"/>
          <w:sz w:val="28"/>
          <w:szCs w:val="28"/>
        </w:rPr>
        <w:t xml:space="preserve"> тыс. рублей</w:t>
      </w:r>
      <w:r>
        <w:rPr>
          <w:i/>
          <w:color w:val="000000" w:themeColor="text1"/>
          <w:sz w:val="28"/>
          <w:szCs w:val="28"/>
        </w:rPr>
        <w:t xml:space="preserve">)</w:t>
      </w:r>
      <w:r>
        <w:rPr>
          <w:color w:val="000000" w:themeColor="text1"/>
          <w:sz w:val="28"/>
          <w:szCs w:val="28"/>
        </w:rPr>
        <w:t xml:space="preserve">.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Финансирование осуществлено в соответствии с предоставленными мэрией г. </w:t>
      </w:r>
      <w:r>
        <w:rPr>
          <w:color w:val="000000" w:themeColor="text1"/>
          <w:sz w:val="28"/>
          <w:szCs w:val="28"/>
          <w:highlight w:val="none"/>
        </w:rPr>
        <w:t xml:space="preserve">Новосибирска заявками на оплату выпол</w:t>
      </w:r>
      <w:r>
        <w:rPr>
          <w:sz w:val="28"/>
          <w:szCs w:val="28"/>
          <w:highlight w:val="none"/>
        </w:rPr>
        <w:t xml:space="preserve">ненных работ.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С</w:t>
      </w:r>
      <w:r>
        <w:rPr>
          <w:sz w:val="28"/>
          <w:szCs w:val="28"/>
          <w:highlight w:val="none"/>
        </w:rPr>
        <w:t xml:space="preserve">редства областного бюджета направлены на следующие жилые дома: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1) ул. Дуси Ковальчук, 378/1 стр., № 1 (по генплану) – 21 556,9 тыс. рублей на технологическое присоединение к сетям теплоснабжения и электроснабжения</w:t>
      </w:r>
      <w:r>
        <w:rPr>
          <w:sz w:val="28"/>
          <w:szCs w:val="28"/>
          <w:highlight w:val="none"/>
        </w:rPr>
        <w:t xml:space="preserve"> </w:t>
      </w:r>
      <w:r>
        <w:rPr>
          <w:i/>
          <w:iCs/>
          <w:sz w:val="28"/>
          <w:szCs w:val="28"/>
          <w:highlight w:val="none"/>
        </w:rPr>
        <w:t xml:space="preserve">(Объект введен в эксплуатацию от 21.02.2024);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2) ул. Есенина, 67 – 16 566,1 тыс. рублей, из них: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9 495,5 тыс. рублей на технологическое присоединение к сетям электроснабжения, теплоснабжения, водоснабжения и водоотведения;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bCs/>
          <w:i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7 070,6 тыс.рублей на выполнение работ по </w:t>
      </w:r>
      <w:r>
        <w:rPr>
          <w:sz w:val="28"/>
          <w:szCs w:val="28"/>
          <w:highlight w:val="none"/>
        </w:rPr>
        <w:t xml:space="preserve">благоустройству</w:t>
      </w:r>
      <w:r>
        <w:rPr>
          <w:sz w:val="28"/>
          <w:szCs w:val="28"/>
          <w:highlight w:val="none"/>
        </w:rPr>
        <w:t xml:space="preserve"> </w:t>
      </w:r>
      <w:r>
        <w:rPr>
          <w:i/>
          <w:iCs/>
          <w:sz w:val="28"/>
          <w:szCs w:val="28"/>
          <w:highlight w:val="none"/>
        </w:rPr>
        <w:t xml:space="preserve">(Объект введен в эксплуатацию </w:t>
      </w:r>
      <w:r>
        <w:rPr>
          <w:i/>
          <w:iCs/>
          <w:sz w:val="28"/>
          <w:szCs w:val="28"/>
          <w:highlight w:val="none"/>
        </w:rPr>
        <w:t xml:space="preserve">29.03.2024</w:t>
      </w:r>
      <w:r>
        <w:rPr>
          <w:i/>
          <w:iCs/>
          <w:sz w:val="28"/>
          <w:szCs w:val="28"/>
          <w:highlight w:val="none"/>
        </w:rPr>
        <w:t xml:space="preserve">);</w:t>
      </w:r>
      <w:r>
        <w:rPr>
          <w:bCs/>
          <w:i/>
          <w:sz w:val="28"/>
          <w:szCs w:val="28"/>
          <w:highlight w:val="none"/>
        </w:rPr>
      </w:r>
      <w:r>
        <w:rPr>
          <w:bCs/>
          <w:i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3) ул.</w:t>
      </w:r>
      <w:r>
        <w:rPr>
          <w:sz w:val="28"/>
          <w:szCs w:val="28"/>
          <w:highlight w:val="none"/>
        </w:rPr>
        <w:t xml:space="preserve"> Герцена, 1/1 – 10 171,3 тыс. рублей на технологическое присоединение к сетям водоснабжения и водоотведения </w:t>
      </w:r>
      <w:r>
        <w:rPr>
          <w:i/>
          <w:iCs/>
          <w:sz w:val="28"/>
          <w:szCs w:val="28"/>
          <w:highlight w:val="none"/>
        </w:rPr>
        <w:t xml:space="preserve">(Объект введен в эксплуатацию 30.12.2020 );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4) </w:t>
      </w:r>
      <w:r>
        <w:rPr>
          <w:sz w:val="28"/>
          <w:szCs w:val="28"/>
          <w:highlight w:val="none"/>
        </w:rPr>
        <w:t xml:space="preserve">мкр. Закаменский, 16 - </w:t>
      </w:r>
      <w:r>
        <w:rPr>
          <w:sz w:val="28"/>
          <w:szCs w:val="28"/>
          <w:highlight w:val="none"/>
        </w:rPr>
        <w:t xml:space="preserve">16 637,0 тыс. рублей на технологическое присоединение к сетям электроснабжения, теплоснабжения, водоснабжения и водоотведения</w:t>
      </w:r>
      <w:r>
        <w:rPr>
          <w:sz w:val="28"/>
          <w:szCs w:val="28"/>
          <w:highlight w:val="none"/>
        </w:rPr>
        <w:t xml:space="preserve"> </w:t>
      </w:r>
      <w:r>
        <w:rPr>
          <w:i/>
          <w:iCs/>
          <w:sz w:val="28"/>
          <w:szCs w:val="28"/>
          <w:highlight w:val="none"/>
        </w:rPr>
        <w:t xml:space="preserve">(Объект введен в эксплуатацию 22.02.2024)</w:t>
      </w:r>
      <w:r>
        <w:rPr>
          <w:i/>
          <w:iCs/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5) ул. Немировича-Данченко, 16/2 - 20 640,0, из них: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3 390,7 </w:t>
      </w:r>
      <w:r>
        <w:rPr>
          <w:sz w:val="28"/>
          <w:szCs w:val="28"/>
          <w:highlight w:val="none"/>
        </w:rPr>
        <w:t xml:space="preserve">тыс. рублей на технологическое присоединение к сетям электроснабжения и теплоснабжения;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bCs/>
          <w:i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17 249,3 </w:t>
      </w:r>
      <w:r>
        <w:rPr>
          <w:sz w:val="28"/>
          <w:szCs w:val="28"/>
          <w:highlight w:val="none"/>
        </w:rPr>
        <w:t xml:space="preserve">тыс.рублей на выполнение работ </w:t>
      </w:r>
      <w:r>
        <w:rPr>
          <w:sz w:val="28"/>
          <w:szCs w:val="28"/>
          <w:highlight w:val="none"/>
        </w:rPr>
        <w:t xml:space="preserve">по благоустройству</w:t>
      </w:r>
      <w:r>
        <w:rPr>
          <w:sz w:val="28"/>
          <w:szCs w:val="28"/>
          <w:highlight w:val="none"/>
        </w:rPr>
        <w:t xml:space="preserve"> </w:t>
      </w:r>
      <w:r>
        <w:rPr>
          <w:i/>
          <w:iCs/>
          <w:sz w:val="28"/>
          <w:szCs w:val="28"/>
          <w:highlight w:val="none"/>
        </w:rPr>
        <w:t xml:space="preserve">(Объект введен в эксплуатацию </w:t>
      </w:r>
      <w:r>
        <w:rPr>
          <w:i/>
          <w:iCs/>
          <w:sz w:val="28"/>
          <w:szCs w:val="28"/>
          <w:highlight w:val="none"/>
        </w:rPr>
        <w:t xml:space="preserve">30.10.2024</w:t>
      </w:r>
      <w:r>
        <w:rPr>
          <w:i/>
          <w:iCs/>
          <w:sz w:val="28"/>
          <w:szCs w:val="28"/>
          <w:highlight w:val="none"/>
        </w:rPr>
        <w:t xml:space="preserve">);</w:t>
      </w:r>
      <w:r>
        <w:rPr>
          <w:i/>
          <w:iCs/>
          <w:sz w:val="28"/>
          <w:szCs w:val="28"/>
          <w:highlight w:val="none"/>
        </w:rPr>
        <w:t xml:space="preserve"> </w:t>
      </w:r>
      <w:r>
        <w:rPr>
          <w:bCs/>
          <w:i/>
          <w:sz w:val="28"/>
          <w:szCs w:val="28"/>
          <w:highlight w:val="none"/>
        </w:rPr>
      </w:r>
      <w:r>
        <w:rPr>
          <w:bCs/>
          <w:i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6) ул. Есенина, 12/1 - 994,4 тыс.рублей на </w:t>
      </w:r>
      <w:r>
        <w:rPr>
          <w:sz w:val="28"/>
          <w:szCs w:val="28"/>
          <w:highlight w:val="none"/>
        </w:rPr>
        <w:t xml:space="preserve">выполнение работ по </w:t>
      </w:r>
      <w:r>
        <w:rPr>
          <w:sz w:val="28"/>
          <w:szCs w:val="28"/>
          <w:highlight w:val="none"/>
        </w:rPr>
        <w:t xml:space="preserve">благоустройству</w:t>
      </w:r>
      <w:r>
        <w:rPr>
          <w:sz w:val="28"/>
          <w:szCs w:val="28"/>
          <w:highlight w:val="none"/>
        </w:rPr>
        <w:t xml:space="preserve"> </w:t>
      </w:r>
      <w:r>
        <w:rPr>
          <w:i/>
          <w:iCs/>
          <w:sz w:val="28"/>
          <w:szCs w:val="28"/>
          <w:highlight w:val="none"/>
        </w:rPr>
        <w:t xml:space="preserve">(Объект введен в эксплуатацию </w:t>
      </w:r>
      <w:r>
        <w:rPr>
          <w:i/>
          <w:iCs/>
          <w:sz w:val="28"/>
          <w:szCs w:val="28"/>
          <w:highlight w:val="none"/>
        </w:rPr>
        <w:t xml:space="preserve">30.10.2023</w:t>
      </w:r>
      <w:r>
        <w:rPr>
          <w:i/>
          <w:iCs/>
          <w:sz w:val="28"/>
          <w:szCs w:val="28"/>
          <w:highlight w:val="none"/>
        </w:rPr>
        <w:t xml:space="preserve">)</w:t>
      </w:r>
      <w:r>
        <w:rPr>
          <w:i/>
          <w:iCs/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b w:val="0"/>
          <w:bCs w:val="0"/>
          <w:i/>
          <w:iCs/>
          <w:sz w:val="28"/>
          <w:szCs w:val="28"/>
        </w:rPr>
        <w:t xml:space="preserve">«Государственная поддержка оказана гражданам, пострадавшим от действий недобросовестных застройщиков</w:t>
      </w:r>
      <w:r>
        <w:rPr>
          <w:b w:val="0"/>
          <w:bCs w:val="0"/>
          <w:i/>
          <w:iCs/>
          <w:sz w:val="28"/>
          <w:szCs w:val="28"/>
        </w:rPr>
        <w:t xml:space="preserve">»</w:t>
      </w:r>
      <w:r>
        <w:rPr>
          <w:sz w:val="28"/>
          <w:szCs w:val="28"/>
          <w:highlight w:val="none"/>
        </w:rPr>
        <w:t xml:space="preserve"> - </w:t>
      </w:r>
      <w:r>
        <w:rPr>
          <w:sz w:val="28"/>
          <w:szCs w:val="28"/>
        </w:rPr>
        <w:t xml:space="preserve">объем средств областного бюджета в соответствии с СБР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составляет 2 000,0 тыс. рублей, </w:t>
      </w:r>
      <w:r>
        <w:rPr>
          <w:color w:val="000000"/>
          <w:sz w:val="28"/>
          <w:szCs w:val="28"/>
        </w:rPr>
        <w:t xml:space="preserve">фактическое финансирование из средств областного бюджета составило</w:t>
      </w:r>
      <w:r>
        <w:rPr>
          <w:sz w:val="28"/>
          <w:szCs w:val="28"/>
        </w:rPr>
        <w:t xml:space="preserve"> 600,0 тыс. рублей или 30% от СБР.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Недостижение показателя связано с заявительным характером предоставления субсидии, по итогам поданных заявлений в министерство, выплаты предоставлены </w:t>
      </w:r>
      <w:r>
        <w:rPr>
          <w:color w:val="000000" w:themeColor="text1"/>
          <w:sz w:val="28"/>
          <w:szCs w:val="28"/>
          <w:highlight w:val="none"/>
        </w:rPr>
        <w:t xml:space="preserve">трем гражданам.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tabs>
          <w:tab w:val="clear" w:pos="4677" w:leader="none"/>
          <w:tab w:val="clear" w:pos="9355" w:leader="none"/>
        </w:tabs>
        <w:rPr>
          <w:i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Построены (приобретены на первичном рынке) служебные помещения для отдельных категорий граждан, проживающих и работающих на территории Новосибирской области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none"/>
        </w:rPr>
        <w:t xml:space="preserve"> - </w:t>
      </w:r>
      <w:r>
        <w:rPr>
          <w:sz w:val="28"/>
          <w:szCs w:val="28"/>
        </w:rPr>
        <w:t xml:space="preserve">объем средств областного бюджета по мероприятию (результату) в соответствии с СБР составляет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776 831,08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тыс. рублей </w:t>
      </w:r>
      <w:r>
        <w:rPr>
          <w:i/>
          <w:sz w:val="28"/>
          <w:szCs w:val="28"/>
        </w:rPr>
        <w:t xml:space="preserve">(Справочно: МБ - 59 945,82 тыс. рублей)</w:t>
      </w:r>
      <w:r>
        <w:rPr>
          <w:color w:val="000000"/>
          <w:sz w:val="28"/>
          <w:szCs w:val="28"/>
        </w:rPr>
        <w:t xml:space="preserve">, фактическое финансирование из средств областного бюджета составило </w:t>
      </w:r>
      <w:r>
        <w:rPr>
          <w:sz w:val="28"/>
          <w:szCs w:val="28"/>
        </w:rPr>
        <w:t xml:space="preserve">560 781,49</w:t>
      </w:r>
      <w:r>
        <w:rPr>
          <w:sz w:val="28"/>
          <w:szCs w:val="28"/>
        </w:rPr>
        <w:t xml:space="preserve"> </w:t>
      </w:r>
      <w:r>
        <w:rPr>
          <w:color w:val="000000"/>
          <w:sz w:val="28"/>
          <w:szCs w:val="28"/>
        </w:rPr>
        <w:t xml:space="preserve">тыс. рублей </w:t>
      </w:r>
      <w:r>
        <w:rPr>
          <w:color w:val="000000"/>
          <w:sz w:val="28"/>
          <w:szCs w:val="28"/>
        </w:rPr>
        <w:t xml:space="preserve">или 72,19 % от СБР </w:t>
      </w:r>
      <w:r>
        <w:rPr>
          <w:i/>
          <w:sz w:val="28"/>
          <w:szCs w:val="28"/>
        </w:rPr>
        <w:t xml:space="preserve">(Справочно: МБ - 44 884,73 тыс. рублей).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Неосвоение бюджетных ассигнований связано: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- с незавершенным строительством домов в 2024 году, ввод в эксплуатацию перенесен на 2025 год: Баганский, Доволенский, Кыштовский, Тогучинский районы.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- в связи с образовавшейся экономией при проведении процедуры торгов по приобретению жилья: Кочковский, Купинский, Татарский, Черепановский районы, г. Бердск.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- строительство домов не начато в связи с расторжением подрядчиком муниципальных контрактов, строительство и ввод перенесены на 2025 год, поправки в бюджет о перераспределении бюджетных ассигнований не были приняты МФ и НП НСО: Чановский район.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tabs>
          <w:tab w:val="clear" w:pos="4677" w:leader="none"/>
          <w:tab w:val="clear" w:pos="9355" w:leader="none"/>
        </w:tabs>
        <w:rPr>
          <w:i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/>
          <w:iCs/>
          <w:sz w:val="28"/>
          <w:szCs w:val="28"/>
        </w:rPr>
        <w:t xml:space="preserve">Осуществлены расходы, связанные со строительством специализированного жилищного фонда</w:t>
      </w:r>
      <w:r>
        <w:rPr>
          <w:color w:val="000000" w:themeColor="text1"/>
          <w:sz w:val="28"/>
          <w:szCs w:val="28"/>
          <w:highlight w:val="none"/>
        </w:rPr>
        <w:t xml:space="preserve"> - </w:t>
      </w:r>
      <w:r>
        <w:rPr>
          <w:sz w:val="28"/>
          <w:szCs w:val="28"/>
        </w:rPr>
        <w:t xml:space="preserve">объем средств областного бюджета по мероприятию (результату) в соответствии с СБР составляет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159 617,40</w:t>
      </w:r>
      <w:r>
        <w:rPr>
          <w:color w:val="000000"/>
          <w:sz w:val="28"/>
          <w:szCs w:val="28"/>
        </w:rPr>
        <w:t xml:space="preserve"> тыс. рублей, фактическое финансирование из средств областного бюджета составило </w:t>
      </w:r>
      <w:r>
        <w:rPr>
          <w:color w:val="000000"/>
          <w:sz w:val="28"/>
          <w:szCs w:val="28"/>
        </w:rPr>
        <w:t xml:space="preserve">109 695,57</w:t>
      </w:r>
      <w:r>
        <w:rPr>
          <w:color w:val="000000"/>
          <w:sz w:val="28"/>
          <w:szCs w:val="28"/>
        </w:rPr>
        <w:t xml:space="preserve"> </w:t>
      </w:r>
      <w:r>
        <w:rPr>
          <w:color w:val="000000"/>
          <w:sz w:val="28"/>
          <w:szCs w:val="28"/>
        </w:rPr>
        <w:t xml:space="preserve">тыс. рублей </w:t>
      </w:r>
      <w:r>
        <w:rPr>
          <w:sz w:val="28"/>
          <w:szCs w:val="28"/>
        </w:rPr>
        <w:t xml:space="preserve">или 68,72 % от СБР.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Неосвоение бюджетных ассигнований связано: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- с объемом предъявленной потребности муниципального обр</w:t>
      </w:r>
      <w:r>
        <w:rPr>
          <w:color w:val="000000" w:themeColor="text1"/>
          <w:sz w:val="28"/>
          <w:szCs w:val="28"/>
          <w:highlight w:val="none"/>
        </w:rPr>
        <w:t xml:space="preserve">азования в оплате или компенсации затрат по необходимым видам работ (межбюджетный трансферт носит заявительный характер): Баганский, Барабинский, Доволенский, Карасукский, Краснозерский, Куйбышевский, Купинский, Кыштовский, Татарский, Черепановский районы.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  <w14:ligatures w14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- бюджетные ассигнования не предоставлены в связи с отсутствием заключения государственной экспертизы на проектно-сметную документацию: Болотнинский, Венгеровский, Здвинский, Мошковский, Убинский, Чановский районы.</w:t>
      </w:r>
      <w:r>
        <w:rPr>
          <w:color w:val="000000" w:themeColor="text1"/>
          <w:sz w:val="28"/>
          <w:szCs w:val="28"/>
          <w:highlight w:val="none"/>
          <w14:ligatures w14:val="none"/>
        </w:rPr>
      </w:r>
      <w:r>
        <w:rPr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i/>
          <w:iCs/>
          <w:color w:val="000000" w:themeColor="text1"/>
          <w:sz w:val="28"/>
          <w:szCs w:val="28"/>
          <w:highlight w:val="none"/>
          <w14:ligatures w14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4. </w:t>
      </w:r>
      <w:r>
        <w:rPr>
          <w:color w:val="000000" w:themeColor="text1"/>
          <w:sz w:val="28"/>
          <w:szCs w:val="28"/>
          <w:highlight w:val="none"/>
        </w:rPr>
        <w:t xml:space="preserve">Расче</w:t>
      </w:r>
      <w:r>
        <w:rPr>
          <w:color w:val="000000" w:themeColor="text1"/>
          <w:sz w:val="28"/>
          <w:szCs w:val="28"/>
          <w:highlight w:val="none"/>
        </w:rPr>
        <w:t xml:space="preserve">т интегральной оценки эффективности (R) государственной программы в 2024 году составил </w:t>
      </w:r>
      <w:r>
        <w:rPr>
          <w:color w:val="000000" w:themeColor="text1"/>
          <w:sz w:val="28"/>
          <w:szCs w:val="28"/>
          <w:highlight w:val="none"/>
        </w:rPr>
        <w:t xml:space="preserve">0,93,</w:t>
      </w:r>
      <w:r>
        <w:rPr>
          <w:color w:val="000000" w:themeColor="text1"/>
          <w:sz w:val="28"/>
          <w:szCs w:val="28"/>
          <w:highlight w:val="none"/>
        </w:rPr>
        <w:t xml:space="preserve"> что на </w:t>
      </w:r>
      <w:r>
        <w:rPr>
          <w:color w:val="000000" w:themeColor="text1"/>
          <w:sz w:val="28"/>
          <w:szCs w:val="28"/>
          <w:highlight w:val="none"/>
        </w:rPr>
        <w:t xml:space="preserve">0,03 </w:t>
      </w:r>
      <w:r>
        <w:rPr>
          <w:color w:val="000000" w:themeColor="text1"/>
          <w:sz w:val="28"/>
          <w:szCs w:val="28"/>
          <w:highlight w:val="none"/>
        </w:rPr>
        <w:t xml:space="preserve">пп выше, чем в 2023 году.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(Расчет приведен в Таблицах №6, № 7).</w:t>
      </w:r>
      <w:r>
        <w:rPr>
          <w:i/>
          <w:iCs/>
          <w:color w:val="000000" w:themeColor="text1"/>
          <w:sz w:val="28"/>
          <w:szCs w:val="28"/>
          <w:highlight w:val="none"/>
          <w14:ligatures w14:val="none"/>
        </w:rPr>
      </w:r>
      <w:r>
        <w:rPr>
          <w:i/>
          <w:iCs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b/>
          <w:bCs/>
          <w:color w:val="000000" w:themeColor="text1"/>
          <w:sz w:val="28"/>
          <w:szCs w:val="28"/>
          <w:highlight w:val="none"/>
          <w14:ligatures w14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Таким образом, в 2024 году значение интегральной оценки эффективности составило 0,</w:t>
      </w:r>
      <w:r>
        <w:rPr>
          <w:color w:val="000000" w:themeColor="text1"/>
          <w:sz w:val="28"/>
          <w:szCs w:val="28"/>
          <w:highlight w:val="none"/>
        </w:rPr>
        <w:t xml:space="preserve">93</w:t>
      </w:r>
      <w:r>
        <w:rPr>
          <w:color w:val="000000" w:themeColor="text1"/>
          <w:sz w:val="28"/>
          <w:szCs w:val="28"/>
          <w:highlight w:val="none"/>
        </w:rPr>
        <w:t xml:space="preserve">, таким обра</w:t>
      </w:r>
      <w:r>
        <w:rPr>
          <w:color w:val="000000" w:themeColor="text1"/>
          <w:sz w:val="28"/>
          <w:szCs w:val="28"/>
          <w:highlight w:val="none"/>
        </w:rPr>
        <w:t xml:space="preserve">зом </w:t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государственная программа оценена как эффективная. </w:t>
      </w:r>
      <w:r>
        <w:rPr>
          <w:b/>
          <w:bCs/>
          <w:color w:val="000000" w:themeColor="text1"/>
          <w:sz w:val="28"/>
          <w:szCs w:val="28"/>
          <w:highlight w:val="none"/>
          <w14:ligatures w14:val="none"/>
        </w:rPr>
      </w:r>
      <w:r>
        <w:rPr>
          <w:b/>
          <w:bCs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bCs/>
          <w:i/>
          <w:color w:val="000000" w:themeColor="text1"/>
          <w:sz w:val="28"/>
          <w:szCs w:val="28"/>
          <w:highlight w:val="none"/>
          <w14:ligatures w14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В связи с переходом на новую систему управления государственными программами с 01.01.2024, была пересмотрена структура государственной программы. 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 </w:t>
      </w:r>
      <w:r>
        <w:rPr>
          <w:i w:val="0"/>
          <w:iCs w:val="0"/>
          <w:color w:val="000000" w:themeColor="text1"/>
          <w:sz w:val="28"/>
          <w:szCs w:val="28"/>
          <w:highlight w:val="none"/>
        </w:rPr>
        <w:t xml:space="preserve">С 2024 года структура государственной программы и входящих в ее состав структурных элементов стала прозрачной, доступной для понимания, видна детализация показателей по муниципальным образованиям, объектам 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(в случае ведения ведомственных проектов). </w:t>
      </w:r>
      <w:r>
        <w:rPr>
          <w:bCs/>
          <w:i/>
          <w:color w:val="000000" w:themeColor="text1"/>
          <w:sz w:val="28"/>
          <w:szCs w:val="28"/>
          <w:highlight w:val="none"/>
          <w14:ligatures w14:val="none"/>
        </w:rPr>
      </w:r>
      <w:r>
        <w:rPr>
          <w:bCs/>
          <w:i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bCs w:val="0"/>
          <w:i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i/>
          <w:iCs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  <w:t xml:space="preserve">В процессе ведения государственной программы вносились изменения в части показателей в целях детализации расходования бюджетных средств, таким примером является показатель 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«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Количество «проблемных» объектов, обеспеченных инженерной инфраструктурой, лифтами и благоустройством придомовой территории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» </w:t>
      </w:r>
      <w:r>
        <w:rPr>
          <w:i w:val="0"/>
          <w:iCs w:val="0"/>
          <w:color w:val="000000" w:themeColor="text1"/>
          <w:sz w:val="28"/>
          <w:szCs w:val="28"/>
          <w:highlight w:val="none"/>
        </w:rPr>
        <w:t xml:space="preserve">и входящие в его структуру 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прокси-показатели.</w:t>
      </w:r>
      <w:r>
        <w:rPr>
          <w:bCs w:val="0"/>
          <w:i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bCs w:val="0"/>
          <w:i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bCs/>
          <w:i/>
          <w:color w:val="000000" w:themeColor="text1"/>
          <w:sz w:val="28"/>
          <w:szCs w:val="28"/>
          <w:highlight w:val="none"/>
          <w14:ligatures w14:val="none"/>
        </w:rPr>
      </w:pPr>
      <w:r>
        <w:rPr>
          <w:i w:val="0"/>
          <w:iCs w:val="0"/>
          <w:color w:val="000000" w:themeColor="text1"/>
          <w:sz w:val="28"/>
          <w:szCs w:val="28"/>
          <w:highlight w:val="none"/>
        </w:rPr>
        <w:t xml:space="preserve">Министерством, на протяжении 2024 года, неоднократно вносились изменения в паспорт государственной программы и ее структурных элементов в целях своевременного приведения в соответствие с актуа</w:t>
      </w:r>
      <w:r>
        <w:rPr>
          <w:i w:val="0"/>
          <w:iCs w:val="0"/>
          <w:color w:val="000000" w:themeColor="text1"/>
          <w:sz w:val="28"/>
          <w:szCs w:val="28"/>
          <w:highlight w:val="none"/>
        </w:rPr>
        <w:t xml:space="preserve">льной редакцией Закона об областном бюджете и актуализацией показателей. Именно своевременное внесение изменений, мониторинг, анализ, а также пересмотр и оптимизация структуры государственной программы помогли повысить уровень ее эффективности в 2024 году.</w:t>
      </w:r>
      <w:r>
        <w:rPr>
          <w:bCs/>
          <w:i/>
          <w:color w:val="000000" w:themeColor="text1"/>
          <w:sz w:val="28"/>
          <w:szCs w:val="28"/>
          <w:highlight w:val="none"/>
          <w14:ligatures w14:val="none"/>
        </w:rPr>
      </w:r>
      <w:r>
        <w:rPr>
          <w:bCs/>
          <w:i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852"/>
        <w:ind w:left="0"/>
        <w:spacing w:after="0" w:line="240" w:lineRule="auto"/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0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Министр строительства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Новосибирской области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        </w:t>
      </w:r>
      <w:bookmarkStart w:id="0" w:name="_GoBack"/>
      <w:r/>
      <w:bookmarkEnd w:id="0"/>
      <w:r>
        <w:rPr>
          <w:color w:val="000000" w:themeColor="text1"/>
          <w:sz w:val="28"/>
          <w:szCs w:val="28"/>
        </w:rPr>
        <w:t xml:space="preserve">   Д.Н. Богомолов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8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9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60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1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2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3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4">
    <w:name w:val="Title Char"/>
    <w:basedOn w:val="681"/>
    <w:link w:val="695"/>
    <w:uiPriority w:val="10"/>
    <w:rPr>
      <w:sz w:val="48"/>
      <w:szCs w:val="48"/>
    </w:rPr>
  </w:style>
  <w:style w:type="character" w:styleId="665">
    <w:name w:val="Subtitle Char"/>
    <w:basedOn w:val="681"/>
    <w:link w:val="697"/>
    <w:uiPriority w:val="11"/>
    <w:rPr>
      <w:sz w:val="24"/>
      <w:szCs w:val="24"/>
    </w:rPr>
  </w:style>
  <w:style w:type="character" w:styleId="666">
    <w:name w:val="Quote Char"/>
    <w:link w:val="699"/>
    <w:uiPriority w:val="29"/>
    <w:rPr>
      <w:i/>
    </w:rPr>
  </w:style>
  <w:style w:type="character" w:styleId="667">
    <w:name w:val="Intense Quote Char"/>
    <w:link w:val="701"/>
    <w:uiPriority w:val="30"/>
    <w:rPr>
      <w:i/>
    </w:rPr>
  </w:style>
  <w:style w:type="character" w:styleId="668">
    <w:name w:val="Caption Char"/>
    <w:basedOn w:val="706"/>
    <w:link w:val="704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855"/>
    <w:qFormat/>
    <w:pPr>
      <w:jc w:val="both"/>
      <w:keepNext/>
      <w:outlineLvl w:val="2"/>
    </w:pPr>
    <w:rPr>
      <w:sz w:val="28"/>
      <w:szCs w:val="2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Heading 3 Char"/>
    <w:basedOn w:val="681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pPr>
      <w:spacing w:after="0" w:line="240" w:lineRule="auto"/>
    </w:pPr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Заголовок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character" w:styleId="703" w:customStyle="1">
    <w:name w:val="Header Char"/>
    <w:basedOn w:val="681"/>
    <w:uiPriority w:val="99"/>
  </w:style>
  <w:style w:type="paragraph" w:styleId="704">
    <w:name w:val="Footer"/>
    <w:basedOn w:val="671"/>
    <w:link w:val="70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5" w:customStyle="1">
    <w:name w:val="Footer Char"/>
    <w:basedOn w:val="681"/>
    <w:uiPriority w:val="99"/>
  </w:style>
  <w:style w:type="paragraph" w:styleId="706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7" w:customStyle="1">
    <w:name w:val="Нижний колонтитул Знак"/>
    <w:link w:val="704"/>
    <w:uiPriority w:val="99"/>
  </w:style>
  <w:style w:type="table" w:styleId="708">
    <w:name w:val="Table Grid"/>
    <w:basedOn w:val="68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9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0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</w:style>
  <w:style w:type="paragraph" w:styleId="852">
    <w:name w:val="Body Text Indent 2"/>
    <w:basedOn w:val="671"/>
    <w:link w:val="853"/>
    <w:pPr>
      <w:ind w:left="283" w:firstLine="709"/>
      <w:jc w:val="both"/>
      <w:spacing w:after="120" w:line="480" w:lineRule="auto"/>
    </w:pPr>
    <w:rPr>
      <w:rFonts w:ascii="Calibri" w:hAnsi="Calibri" w:eastAsia="Calibri"/>
      <w:sz w:val="22"/>
      <w:szCs w:val="22"/>
      <w:lang w:eastAsia="en-US"/>
    </w:rPr>
  </w:style>
  <w:style w:type="character" w:styleId="853" w:customStyle="1">
    <w:name w:val="Основной текст с отступом 2 Знак"/>
    <w:basedOn w:val="681"/>
    <w:link w:val="852"/>
    <w:rPr>
      <w:rFonts w:ascii="Calibri" w:hAnsi="Calibri" w:eastAsia="Calibri" w:cs="Times New Roman"/>
    </w:rPr>
  </w:style>
  <w:style w:type="character" w:styleId="854" w:customStyle="1">
    <w:name w:val="Заголовок 3 Знак"/>
    <w:basedOn w:val="681"/>
    <w:uiPriority w:val="9"/>
    <w:semiHidden/>
    <w:rPr>
      <w:rFonts w:asciiTheme="majorHAnsi" w:hAnsiTheme="majorHAnsi" w:eastAsiaTheme="majorEastAsia" w:cstheme="majorBidi"/>
      <w:color w:val="1f4d78" w:themeColor="accent1" w:themeShade="7F"/>
      <w:sz w:val="24"/>
      <w:szCs w:val="24"/>
      <w:lang w:eastAsia="ru-RU"/>
    </w:rPr>
  </w:style>
  <w:style w:type="character" w:styleId="855" w:customStyle="1">
    <w:name w:val="Заголовок 3 Знак1"/>
    <w:link w:val="674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56">
    <w:name w:val="Header"/>
    <w:basedOn w:val="671"/>
    <w:link w:val="858"/>
    <w:uiPriority w:val="99"/>
    <w:pPr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857" w:customStyle="1">
    <w:name w:val="Верхний колонтитул Знак"/>
    <w:basedOn w:val="681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8" w:customStyle="1">
    <w:name w:val="Верхний колонтитул Знак1"/>
    <w:link w:val="856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59">
    <w:name w:val="Balloon Text"/>
    <w:basedOn w:val="671"/>
    <w:link w:val="86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0" w:customStyle="1">
    <w:name w:val="Текст выноски Знак"/>
    <w:basedOn w:val="681"/>
    <w:link w:val="859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61" w:customStyle="1">
    <w:name w:val="Основной текст с отступом 21"/>
    <w:pPr>
      <w:ind w:left="283" w:firstLine="709"/>
      <w:jc w:val="both"/>
      <w:spacing w:after="120" w:line="48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 w:cs="Times New Roman"/>
      <w:lang w:val="en-US"/>
    </w:rPr>
  </w:style>
  <w:style w:type="paragraph" w:styleId="862" w:customStyle="1">
    <w:name w:val="ConsPlusNormal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Times New Roman" w:cs="Arial"/>
      <w:sz w:val="20"/>
      <w:szCs w:val="20"/>
      <w:lang w:eastAsia="ru-RU"/>
    </w:rPr>
  </w:style>
  <w:style w:type="paragraph" w:styleId="863" w:customStyle="1">
    <w:name w:val="Верхний колонтитул;Знак"/>
    <w:uiPriority w:val="99"/>
    <w:pPr>
      <w:spacing w:after="0" w:line="240" w:lineRule="auto"/>
      <w:tabs>
        <w:tab w:val="center" w:pos="4677" w:leader="none"/>
        <w:tab w:val="right" w:pos="9355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Карина Сергеевна</dc:creator>
  <cp:keywords/>
  <dc:description/>
  <cp:revision>33</cp:revision>
  <dcterms:created xsi:type="dcterms:W3CDTF">2023-03-29T09:06:00Z</dcterms:created>
  <dcterms:modified xsi:type="dcterms:W3CDTF">2025-04-14T02:09:39Z</dcterms:modified>
</cp:coreProperties>
</file>