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5621" w:rsidRPr="00642025" w:rsidRDefault="006731E2" w:rsidP="00642025">
      <w:pPr>
        <w:spacing w:after="0" w:line="240" w:lineRule="auto"/>
        <w:ind w:left="5954"/>
        <w:jc w:val="center"/>
        <w:rPr>
          <w:rFonts w:ascii="Times New Roman" w:eastAsia="Times New Roman" w:hAnsi="Times New Roman" w:cs="Tahoma"/>
          <w:sz w:val="28"/>
          <w:szCs w:val="28"/>
        </w:rPr>
      </w:pPr>
      <w:r w:rsidRPr="00642025">
        <w:rPr>
          <w:rFonts w:ascii="Times New Roman" w:eastAsia="Times New Roman" w:hAnsi="Times New Roman" w:cs="Tahoma"/>
          <w:sz w:val="28"/>
          <w:szCs w:val="28"/>
        </w:rPr>
        <w:t>ПРИЛОЖЕНИЕ № 1</w:t>
      </w:r>
    </w:p>
    <w:p w:rsidR="00275621" w:rsidRPr="00642025" w:rsidRDefault="006731E2" w:rsidP="00642025">
      <w:pPr>
        <w:spacing w:after="0" w:line="240" w:lineRule="auto"/>
        <w:ind w:left="5954"/>
        <w:jc w:val="center"/>
        <w:rPr>
          <w:rFonts w:ascii="Times New Roman" w:eastAsia="Times New Roman" w:hAnsi="Times New Roman" w:cs="Tahoma"/>
          <w:sz w:val="28"/>
          <w:szCs w:val="28"/>
        </w:rPr>
      </w:pPr>
      <w:r w:rsidRPr="00642025">
        <w:rPr>
          <w:rFonts w:ascii="Times New Roman" w:eastAsia="Times New Roman" w:hAnsi="Times New Roman" w:cs="Tahoma"/>
          <w:sz w:val="28"/>
          <w:szCs w:val="28"/>
        </w:rPr>
        <w:t>к постановлению Правительства</w:t>
      </w:r>
    </w:p>
    <w:p w:rsidR="00275621" w:rsidRPr="00642025" w:rsidRDefault="006731E2" w:rsidP="00642025">
      <w:pPr>
        <w:spacing w:after="0" w:line="240" w:lineRule="auto"/>
        <w:ind w:left="5954"/>
        <w:jc w:val="center"/>
        <w:rPr>
          <w:rFonts w:ascii="Times New Roman" w:eastAsia="Times New Roman" w:hAnsi="Times New Roman" w:cs="Tahoma"/>
          <w:sz w:val="28"/>
          <w:szCs w:val="28"/>
        </w:rPr>
      </w:pPr>
      <w:r w:rsidRPr="00642025">
        <w:rPr>
          <w:rFonts w:ascii="Times New Roman" w:eastAsia="Times New Roman" w:hAnsi="Times New Roman" w:cs="Tahoma"/>
          <w:sz w:val="28"/>
          <w:szCs w:val="28"/>
        </w:rPr>
        <w:t>Новосибирской области</w:t>
      </w:r>
    </w:p>
    <w:p w:rsidR="00275621" w:rsidRPr="00642025" w:rsidRDefault="00AA3281" w:rsidP="00642025">
      <w:pPr>
        <w:spacing w:after="0" w:line="240" w:lineRule="auto"/>
        <w:ind w:left="5954"/>
        <w:jc w:val="center"/>
        <w:rPr>
          <w:rFonts w:ascii="Times New Roman" w:eastAsia="Times New Roman" w:hAnsi="Times New Roman" w:cs="Tahoma"/>
          <w:sz w:val="28"/>
          <w:szCs w:val="28"/>
        </w:rPr>
      </w:pPr>
      <w:bookmarkStart w:id="0" w:name="_GoBack"/>
      <w:r w:rsidRPr="00AA3281">
        <w:rPr>
          <w:rFonts w:ascii="Times New Roman" w:eastAsia="Times New Roman" w:hAnsi="Times New Roman" w:cs="Tahoma"/>
          <w:sz w:val="28"/>
          <w:szCs w:val="28"/>
        </w:rPr>
        <w:t>от 03.09.2024  № 417-п</w:t>
      </w:r>
    </w:p>
    <w:bookmarkEnd w:id="0"/>
    <w:p w:rsidR="000129E0" w:rsidRPr="00642025" w:rsidRDefault="000129E0" w:rsidP="00642025">
      <w:pPr>
        <w:spacing w:after="0" w:line="240" w:lineRule="auto"/>
        <w:ind w:left="5954"/>
        <w:jc w:val="center"/>
        <w:rPr>
          <w:rFonts w:ascii="Times New Roman" w:eastAsia="Times New Roman" w:hAnsi="Times New Roman" w:cs="Tahoma"/>
          <w:sz w:val="28"/>
          <w:szCs w:val="28"/>
        </w:rPr>
      </w:pPr>
    </w:p>
    <w:p w:rsidR="00275621" w:rsidRPr="00642025" w:rsidRDefault="00275621" w:rsidP="00642025">
      <w:pPr>
        <w:spacing w:after="0" w:line="240" w:lineRule="auto"/>
        <w:ind w:left="5954"/>
        <w:jc w:val="center"/>
        <w:rPr>
          <w:rFonts w:ascii="Times New Roman" w:eastAsia="Times New Roman" w:hAnsi="Times New Roman" w:cs="Tahoma"/>
          <w:sz w:val="28"/>
          <w:szCs w:val="28"/>
        </w:rPr>
      </w:pPr>
    </w:p>
    <w:p w:rsidR="00275621" w:rsidRPr="00642025" w:rsidRDefault="006731E2" w:rsidP="00642025">
      <w:pPr>
        <w:spacing w:after="0" w:line="240" w:lineRule="auto"/>
        <w:ind w:left="5954"/>
        <w:jc w:val="center"/>
        <w:rPr>
          <w:rFonts w:ascii="Times New Roman" w:eastAsia="Times New Roman" w:hAnsi="Times New Roman" w:cs="Tahoma"/>
          <w:sz w:val="28"/>
          <w:szCs w:val="28"/>
        </w:rPr>
      </w:pPr>
      <w:r w:rsidRPr="00642025">
        <w:rPr>
          <w:rFonts w:ascii="Times New Roman" w:eastAsia="Times New Roman" w:hAnsi="Times New Roman" w:cs="Tahoma"/>
          <w:sz w:val="28"/>
          <w:szCs w:val="28"/>
        </w:rPr>
        <w:t>«УТВЕРЖДЕН</w:t>
      </w:r>
    </w:p>
    <w:p w:rsidR="00275621" w:rsidRPr="00642025" w:rsidRDefault="006731E2" w:rsidP="00642025">
      <w:pPr>
        <w:spacing w:after="0" w:line="240" w:lineRule="auto"/>
        <w:ind w:left="5954"/>
        <w:jc w:val="center"/>
        <w:rPr>
          <w:rFonts w:ascii="Times New Roman" w:eastAsia="Times New Roman" w:hAnsi="Times New Roman" w:cs="Tahoma"/>
          <w:sz w:val="28"/>
          <w:szCs w:val="28"/>
        </w:rPr>
      </w:pPr>
      <w:r w:rsidRPr="00642025">
        <w:rPr>
          <w:rFonts w:ascii="Times New Roman" w:eastAsia="Times New Roman" w:hAnsi="Times New Roman" w:cs="Tahoma"/>
          <w:sz w:val="28"/>
          <w:szCs w:val="28"/>
        </w:rPr>
        <w:t>постановлением Правительства</w:t>
      </w:r>
    </w:p>
    <w:p w:rsidR="00275621" w:rsidRPr="00642025" w:rsidRDefault="006731E2" w:rsidP="00642025">
      <w:pPr>
        <w:spacing w:after="0" w:line="240" w:lineRule="auto"/>
        <w:ind w:left="5954"/>
        <w:jc w:val="center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642025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Новосибирской области</w:t>
      </w:r>
    </w:p>
    <w:p w:rsidR="00275621" w:rsidRPr="00642025" w:rsidRDefault="006731E2" w:rsidP="00642025">
      <w:pPr>
        <w:spacing w:after="0" w:line="240" w:lineRule="auto"/>
        <w:ind w:left="5954"/>
        <w:jc w:val="center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  <w:r w:rsidRPr="00642025"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  <w:t>от 30.12.2021 № 571-п</w:t>
      </w:r>
    </w:p>
    <w:p w:rsidR="00275621" w:rsidRPr="00642025" w:rsidRDefault="00275621" w:rsidP="00642025">
      <w:pPr>
        <w:spacing w:after="0" w:line="240" w:lineRule="auto"/>
        <w:ind w:left="5954"/>
        <w:jc w:val="center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275621" w:rsidRPr="00642025" w:rsidRDefault="00275621" w:rsidP="00642025">
      <w:pPr>
        <w:spacing w:after="0" w:line="240" w:lineRule="auto"/>
        <w:ind w:left="5954"/>
        <w:jc w:val="center"/>
        <w:rPr>
          <w:rFonts w:ascii="Times New Roman" w:eastAsia="Arial Unicode MS" w:hAnsi="Times New Roman" w:cs="Times New Roman"/>
          <w:sz w:val="28"/>
          <w:szCs w:val="28"/>
          <w:lang w:eastAsia="hi-IN" w:bidi="hi-IN"/>
        </w:rPr>
      </w:pPr>
    </w:p>
    <w:p w:rsidR="00275621" w:rsidRPr="00642025" w:rsidRDefault="006731E2" w:rsidP="006420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025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275621" w:rsidRPr="00642025" w:rsidRDefault="006731E2" w:rsidP="00642025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42025">
        <w:rPr>
          <w:rFonts w:ascii="Times New Roman" w:hAnsi="Times New Roman" w:cs="Times New Roman"/>
          <w:b/>
          <w:sz w:val="28"/>
          <w:szCs w:val="28"/>
        </w:rPr>
        <w:t>индикаторов риска нарушения обязательных требований при осуществлении регионального государственного контроля (надзора) в области долевого строительства многоквартирных домов и (или) иных объектов недвижимости</w:t>
      </w:r>
    </w:p>
    <w:p w:rsidR="00275621" w:rsidRPr="00642025" w:rsidRDefault="00275621" w:rsidP="006420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621" w:rsidRPr="00642025" w:rsidRDefault="00275621" w:rsidP="006420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75621" w:rsidRPr="00642025" w:rsidRDefault="006731E2" w:rsidP="00642025">
      <w:pPr>
        <w:pStyle w:val="ConsPlusNormal"/>
        <w:widowControl/>
        <w:pBdr>
          <w:right w:val="none" w:sz="4" w:space="8" w:color="000000"/>
        </w:pBdr>
        <w:tabs>
          <w:tab w:val="left" w:pos="70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025">
        <w:rPr>
          <w:rFonts w:ascii="Times New Roman" w:eastAsia="Times New Roman" w:hAnsi="Times New Roman" w:cs="Times New Roman"/>
          <w:sz w:val="28"/>
          <w:szCs w:val="28"/>
        </w:rPr>
        <w:t>1. Выявление в ходе мониторинга единой информационной системы жилищного строительства фактов изменения более двух раз сроков передачи застройщиком объектов долевого строительства участникам долевого строительства по договорам участия в долевом строительстве.</w:t>
      </w:r>
    </w:p>
    <w:p w:rsidR="00275621" w:rsidRPr="00642025" w:rsidRDefault="006731E2" w:rsidP="00642025">
      <w:pPr>
        <w:pStyle w:val="ConsPlusNormal"/>
        <w:widowControl/>
        <w:pBdr>
          <w:right w:val="none" w:sz="4" w:space="8" w:color="000000"/>
        </w:pBdr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025">
        <w:rPr>
          <w:rFonts w:ascii="Times New Roman" w:eastAsia="Times New Roman" w:hAnsi="Times New Roman" w:cs="Times New Roman"/>
          <w:sz w:val="28"/>
          <w:szCs w:val="28"/>
        </w:rPr>
        <w:t xml:space="preserve">2. Получение по результатам мониторинга официального сайта арбитражного суда в информационно-телекоммуникационной сети </w:t>
      </w:r>
      <w:r w:rsidR="0041293E" w:rsidRPr="00642025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t>Интернет</w:t>
      </w:r>
      <w:r w:rsidR="0041293E" w:rsidRPr="00642025">
        <w:rPr>
          <w:rFonts w:ascii="Times New Roman" w:eastAsia="Times New Roman" w:hAnsi="Times New Roman" w:cs="Times New Roman"/>
          <w:sz w:val="28"/>
          <w:szCs w:val="28"/>
        </w:rPr>
        <w:t>»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t xml:space="preserve"> сведений о вынесении арбитражным судом определения о принятии заявления о</w:t>
      </w:r>
      <w:r w:rsidR="00D8223C" w:rsidRPr="006420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t xml:space="preserve">признании контролируемого лица банкротом. </w:t>
      </w:r>
    </w:p>
    <w:p w:rsidR="00275621" w:rsidRPr="00642025" w:rsidRDefault="006731E2" w:rsidP="00642025">
      <w:pPr>
        <w:pStyle w:val="ConsPlusNormal"/>
        <w:widowControl/>
        <w:pBdr>
          <w:right w:val="none" w:sz="4" w:space="8" w:color="000000"/>
        </w:pBdr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642025">
        <w:rPr>
          <w:rFonts w:ascii="Times New Roman" w:eastAsia="Times New Roman" w:hAnsi="Times New Roman" w:cs="Times New Roman"/>
          <w:sz w:val="28"/>
          <w:szCs w:val="28"/>
        </w:rPr>
        <w:t>3. Получение (выявление) в ходе мониторинга единой информационной системы жилищного строительства информации о заключении контролируемым лицом договоров участия в долевом строительстве, содержащих условия о</w:t>
      </w:r>
      <w:r w:rsidR="00D8223C" w:rsidRPr="006420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t>строительстве и передаче участнику долевого строительства более одного объекта долевого строительства по цене за 1 кв. м на 20 и более процентов ниже средней цены за 1 кв. м на первичном рынке жилья по городу Новосибирску, отраженной в данных Территориального органа Федеральной службы государственной статистики по Новосибирской области.</w:t>
      </w:r>
    </w:p>
    <w:p w:rsidR="00275621" w:rsidRPr="00642025" w:rsidRDefault="006731E2" w:rsidP="00642025">
      <w:pPr>
        <w:pStyle w:val="ConsPlusNormal"/>
        <w:widowControl/>
        <w:pBdr>
          <w:right w:val="none" w:sz="4" w:space="8" w:color="000000"/>
        </w:pBdr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42025">
        <w:rPr>
          <w:rFonts w:ascii="Times New Roman" w:eastAsia="Times New Roman" w:hAnsi="Times New Roman" w:cs="Times New Roman"/>
          <w:sz w:val="28"/>
          <w:szCs w:val="28"/>
        </w:rPr>
        <w:t>4. Получение от участников долевого строительства многоквартирного дома и (или) иного объекта недвижимости, органов государственной власти, органов местного самоуправления, из средств массовой информации, официального сайта контролируемого лица информации, не соответствующей информации и</w:t>
      </w:r>
      <w:r w:rsidR="00D8223C" w:rsidRPr="006420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t>документам, размещенным контролируемым лицом в единой информационной системе жилищного строительства согласно перечню, установленному пунктом 9 Правил размещения информации субъектами информации, обязательное размещение которой предусмотрено законодательством Российской Федерации, в</w:t>
      </w:r>
      <w:r w:rsidR="00D8223C" w:rsidRPr="006420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t xml:space="preserve">единой информационной системе жилищного строительства, утвержденных 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lastRenderedPageBreak/>
        <w:t>постановлением Правительства Российской Федерации от</w:t>
      </w:r>
      <w:r w:rsidR="00250787" w:rsidRPr="006420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t>26.03.2019 №</w:t>
      </w:r>
      <w:r w:rsidR="00250787" w:rsidRPr="006420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t>319 «О</w:t>
      </w:r>
      <w:r w:rsidR="00250787" w:rsidRPr="006420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2025">
        <w:rPr>
          <w:rFonts w:ascii="Times New Roman" w:eastAsia="Times New Roman" w:hAnsi="Times New Roman" w:cs="Times New Roman"/>
          <w:sz w:val="28"/>
          <w:szCs w:val="28"/>
        </w:rPr>
        <w:t>единой информационной системе жилищного строительства».</w:t>
      </w:r>
    </w:p>
    <w:p w:rsidR="00275621" w:rsidRPr="00642025" w:rsidRDefault="006731E2" w:rsidP="00642025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42025">
        <w:rPr>
          <w:rFonts w:ascii="Times New Roman" w:eastAsia="Times New Roman" w:hAnsi="Times New Roman" w:cs="Times New Roman"/>
          <w:sz w:val="28"/>
          <w:szCs w:val="28"/>
        </w:rPr>
        <w:t>5.</w:t>
      </w:r>
      <w:r w:rsidR="00250787" w:rsidRPr="00642025">
        <w:rPr>
          <w:rFonts w:ascii="Times New Roman" w:eastAsia="Times New Roman" w:hAnsi="Times New Roman" w:cs="Times New Roman"/>
          <w:sz w:val="28"/>
          <w:szCs w:val="28"/>
        </w:rPr>
        <w:t> </w:t>
      </w:r>
      <w:r w:rsidRPr="00642025">
        <w:rPr>
          <w:rFonts w:ascii="Times New Roman" w:hAnsi="Times New Roman" w:cs="Times New Roman"/>
          <w:sz w:val="28"/>
          <w:szCs w:val="28"/>
        </w:rPr>
        <w:t xml:space="preserve">Получение из проектной декларации застройщика сведений о том, что за 2 месяца до указанной в проектной декларации </w:t>
      </w:r>
      <w:r w:rsidRPr="00642025">
        <w:rPr>
          <w:rFonts w:ascii="Times New Roman" w:hAnsi="Times New Roman" w:cs="Times New Roman"/>
          <w:sz w:val="28"/>
          <w:szCs w:val="28"/>
          <w14:ligatures w14:val="standardContextual"/>
        </w:rPr>
        <w:t>первоначальной даты передачи застройщиком объектов долевого строительства участникам долевого строительства строительная готовность многоквартирного дома и (или) иного объекта недвижимости составляет менее 80 процентов.</w:t>
      </w:r>
    </w:p>
    <w:p w:rsidR="00275621" w:rsidRPr="00642025" w:rsidRDefault="00275621" w:rsidP="00642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50787" w:rsidRPr="00642025" w:rsidRDefault="00250787" w:rsidP="00642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621" w:rsidRPr="00642025" w:rsidRDefault="00275621" w:rsidP="00642025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275621" w:rsidRDefault="006731E2" w:rsidP="0064202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42025">
        <w:rPr>
          <w:rFonts w:ascii="Times New Roman" w:hAnsi="Times New Roman" w:cs="Times New Roman"/>
          <w:sz w:val="28"/>
          <w:szCs w:val="28"/>
        </w:rPr>
        <w:t>_________».</w:t>
      </w:r>
    </w:p>
    <w:sectPr w:rsidR="00275621" w:rsidSect="00642025">
      <w:headerReference w:type="default" r:id="rId8"/>
      <w:pgSz w:w="11906" w:h="16838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0620" w:rsidRDefault="00CD0620">
      <w:pPr>
        <w:spacing w:after="0" w:line="240" w:lineRule="auto"/>
      </w:pPr>
      <w:r>
        <w:separator/>
      </w:r>
    </w:p>
  </w:endnote>
  <w:endnote w:type="continuationSeparator" w:id="0">
    <w:p w:rsidR="00CD0620" w:rsidRDefault="00CD06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altName w:val="Century Gothic"/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auto"/>
    <w:pitch w:val="default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0620" w:rsidRDefault="00CD0620">
      <w:pPr>
        <w:spacing w:after="0" w:line="240" w:lineRule="auto"/>
      </w:pPr>
      <w:r>
        <w:separator/>
      </w:r>
    </w:p>
  </w:footnote>
  <w:footnote w:type="continuationSeparator" w:id="0">
    <w:p w:rsidR="00CD0620" w:rsidRDefault="00CD06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6404973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</w:rPr>
    </w:sdtEndPr>
    <w:sdtContent>
      <w:p w:rsidR="00642025" w:rsidRPr="00642025" w:rsidRDefault="00642025">
        <w:pPr>
          <w:pStyle w:val="ab"/>
          <w:jc w:val="center"/>
          <w:rPr>
            <w:rFonts w:ascii="Times New Roman" w:hAnsi="Times New Roman" w:cs="Times New Roman"/>
            <w:sz w:val="20"/>
          </w:rPr>
        </w:pPr>
        <w:r w:rsidRPr="00642025">
          <w:rPr>
            <w:rFonts w:ascii="Times New Roman" w:hAnsi="Times New Roman" w:cs="Times New Roman"/>
            <w:sz w:val="20"/>
          </w:rPr>
          <w:fldChar w:fldCharType="begin"/>
        </w:r>
        <w:r w:rsidRPr="00642025">
          <w:rPr>
            <w:rFonts w:ascii="Times New Roman" w:hAnsi="Times New Roman" w:cs="Times New Roman"/>
            <w:sz w:val="20"/>
          </w:rPr>
          <w:instrText>PAGE   \* MERGEFORMAT</w:instrText>
        </w:r>
        <w:r w:rsidRPr="00642025">
          <w:rPr>
            <w:rFonts w:ascii="Times New Roman" w:hAnsi="Times New Roman" w:cs="Times New Roman"/>
            <w:sz w:val="20"/>
          </w:rPr>
          <w:fldChar w:fldCharType="separate"/>
        </w:r>
        <w:r w:rsidR="00AA3281">
          <w:rPr>
            <w:rFonts w:ascii="Times New Roman" w:hAnsi="Times New Roman" w:cs="Times New Roman"/>
            <w:noProof/>
            <w:sz w:val="20"/>
          </w:rPr>
          <w:t>2</w:t>
        </w:r>
        <w:r w:rsidRPr="00642025">
          <w:rPr>
            <w:rFonts w:ascii="Times New Roman" w:hAnsi="Times New Roman" w:cs="Times New Roman"/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68574BB"/>
    <w:multiLevelType w:val="hybridMultilevel"/>
    <w:tmpl w:val="E9424DD0"/>
    <w:lvl w:ilvl="0" w:tplc="A292428A">
      <w:start w:val="1"/>
      <w:numFmt w:val="decimal"/>
      <w:lvlText w:val="%1."/>
      <w:lvlJc w:val="left"/>
      <w:pPr>
        <w:ind w:left="1249" w:hanging="360"/>
      </w:pPr>
    </w:lvl>
    <w:lvl w:ilvl="1" w:tplc="3BE4F530">
      <w:start w:val="1"/>
      <w:numFmt w:val="lowerLetter"/>
      <w:lvlText w:val="%2."/>
      <w:lvlJc w:val="left"/>
      <w:pPr>
        <w:ind w:left="1969" w:hanging="360"/>
      </w:pPr>
    </w:lvl>
    <w:lvl w:ilvl="2" w:tplc="F21228BE">
      <w:start w:val="1"/>
      <w:numFmt w:val="lowerRoman"/>
      <w:lvlText w:val="%3."/>
      <w:lvlJc w:val="right"/>
      <w:pPr>
        <w:ind w:left="2689" w:hanging="180"/>
      </w:pPr>
    </w:lvl>
    <w:lvl w:ilvl="3" w:tplc="4AAAB69E">
      <w:start w:val="1"/>
      <w:numFmt w:val="decimal"/>
      <w:lvlText w:val="%4."/>
      <w:lvlJc w:val="left"/>
      <w:pPr>
        <w:ind w:left="3409" w:hanging="360"/>
      </w:pPr>
    </w:lvl>
    <w:lvl w:ilvl="4" w:tplc="53B6CFBE">
      <w:start w:val="1"/>
      <w:numFmt w:val="lowerLetter"/>
      <w:lvlText w:val="%5."/>
      <w:lvlJc w:val="left"/>
      <w:pPr>
        <w:ind w:left="4129" w:hanging="360"/>
      </w:pPr>
    </w:lvl>
    <w:lvl w:ilvl="5" w:tplc="6580427E">
      <w:start w:val="1"/>
      <w:numFmt w:val="lowerRoman"/>
      <w:lvlText w:val="%6."/>
      <w:lvlJc w:val="right"/>
      <w:pPr>
        <w:ind w:left="4849" w:hanging="180"/>
      </w:pPr>
    </w:lvl>
    <w:lvl w:ilvl="6" w:tplc="4C9EC07E">
      <w:start w:val="1"/>
      <w:numFmt w:val="decimal"/>
      <w:lvlText w:val="%7."/>
      <w:lvlJc w:val="left"/>
      <w:pPr>
        <w:ind w:left="5569" w:hanging="360"/>
      </w:pPr>
    </w:lvl>
    <w:lvl w:ilvl="7" w:tplc="55D67D2C">
      <w:start w:val="1"/>
      <w:numFmt w:val="lowerLetter"/>
      <w:lvlText w:val="%8."/>
      <w:lvlJc w:val="left"/>
      <w:pPr>
        <w:ind w:left="6289" w:hanging="360"/>
      </w:pPr>
    </w:lvl>
    <w:lvl w:ilvl="8" w:tplc="5CEE98BE">
      <w:start w:val="1"/>
      <w:numFmt w:val="lowerRoman"/>
      <w:lvlText w:val="%9."/>
      <w:lvlJc w:val="right"/>
      <w:pPr>
        <w:ind w:left="700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75621"/>
    <w:rsid w:val="000129E0"/>
    <w:rsid w:val="00250787"/>
    <w:rsid w:val="00275621"/>
    <w:rsid w:val="0041293E"/>
    <w:rsid w:val="00536FD2"/>
    <w:rsid w:val="00642025"/>
    <w:rsid w:val="006731E2"/>
    <w:rsid w:val="00724A0B"/>
    <w:rsid w:val="00AA3281"/>
    <w:rsid w:val="00CD0620"/>
    <w:rsid w:val="00D8223C"/>
    <w:rsid w:val="00DE2C35"/>
    <w:rsid w:val="00E475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3752BF1-1094-4F05-B924-681FE9B46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 w:line="276" w:lineRule="auto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  <w:pPr>
      <w:spacing w:after="0" w:line="240" w:lineRule="auto"/>
    </w:pPr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basedOn w:val="a0"/>
    <w:uiPriority w:val="99"/>
  </w:style>
  <w:style w:type="paragraph" w:styleId="af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e">
    <w:name w:val="Нижний колонтитул Знак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6BFDD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6BFDD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ABB59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9ABB59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4" w:space="0" w:color="000000"/>
          <w:left w:val="single" w:sz="4" w:space="0" w:color="99D0DE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4" w:space="0" w:color="000000"/>
          <w:left w:val="single" w:sz="4" w:space="0" w:color="FAC396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4" w:space="0" w:color="000000"/>
          <w:left w:val="single" w:sz="4" w:space="0" w:color="4F81BD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D99695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D99695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3D69B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3D69B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B2A1C6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B2A1C6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2CCDC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92CCDC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AC090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FAC090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000FF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Текст сноски Знак"/>
    <w:link w:val="af2"/>
    <w:uiPriority w:val="99"/>
    <w:rPr>
      <w:sz w:val="18"/>
    </w:rPr>
  </w:style>
  <w:style w:type="character" w:styleId="af4">
    <w:name w:val="footnote reference"/>
    <w:basedOn w:val="a0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Текст концевой сноски Знак"/>
    <w:link w:val="af5"/>
    <w:uiPriority w:val="99"/>
    <w:rPr>
      <w:sz w:val="20"/>
    </w:rPr>
  </w:style>
  <w:style w:type="character" w:styleId="af7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8">
    <w:name w:val="TOC Heading"/>
    <w:uiPriority w:val="39"/>
    <w:unhideWhenUsed/>
  </w:style>
  <w:style w:type="paragraph" w:styleId="af9">
    <w:name w:val="table of figures"/>
    <w:basedOn w:val="a"/>
    <w:next w:val="a"/>
    <w:uiPriority w:val="99"/>
    <w:unhideWhenUsed/>
    <w:pPr>
      <w:spacing w:after="0"/>
    </w:pPr>
  </w:style>
  <w:style w:type="paragraph" w:styleId="afa">
    <w:name w:val="Balloon Text"/>
    <w:basedOn w:val="a"/>
    <w:link w:val="afb"/>
    <w:uiPriority w:val="99"/>
    <w:semiHidden/>
    <w:unhideWhenUsed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b">
    <w:name w:val="Текст выноски Знак"/>
    <w:basedOn w:val="a0"/>
    <w:link w:val="afa"/>
    <w:uiPriority w:val="99"/>
    <w:semiHidden/>
    <w:rPr>
      <w:rFonts w:ascii="Segoe UI" w:hAnsi="Segoe UI" w:cs="Segoe UI"/>
      <w:sz w:val="18"/>
      <w:szCs w:val="18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paragraph" w:customStyle="1" w:styleId="ConsPlusNormal">
    <w:name w:val="ConsPlusNormal"/>
    <w:pPr>
      <w:widowControl w:val="0"/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Theme="minorEastAsia" w:hAnsi="Arial" w:cs="Arial"/>
      <w:sz w:val="20"/>
      <w:lang w:eastAsia="ru-RU"/>
      <w14:ligatures w14:val="standardContextual"/>
    </w:rPr>
  </w:style>
  <w:style w:type="character" w:styleId="afc">
    <w:name w:val="annotation reference"/>
    <w:basedOn w:val="a0"/>
    <w:uiPriority w:val="99"/>
    <w:semiHidden/>
    <w:unhideWhenUsed/>
    <w:rPr>
      <w:sz w:val="16"/>
      <w:szCs w:val="16"/>
    </w:rPr>
  </w:style>
  <w:style w:type="paragraph" w:styleId="afd">
    <w:name w:val="annotation text"/>
    <w:basedOn w:val="a"/>
    <w:link w:val="afe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afe">
    <w:name w:val="Текст примечания Знак"/>
    <w:basedOn w:val="a0"/>
    <w:link w:val="afd"/>
    <w:uiPriority w:val="99"/>
    <w:semiHidden/>
    <w:rPr>
      <w:sz w:val="20"/>
      <w:szCs w:val="20"/>
    </w:rPr>
  </w:style>
  <w:style w:type="paragraph" w:styleId="aff">
    <w:name w:val="annotation subject"/>
    <w:basedOn w:val="afd"/>
    <w:next w:val="afd"/>
    <w:link w:val="aff0"/>
    <w:uiPriority w:val="99"/>
    <w:semiHidden/>
    <w:unhideWhenUsed/>
    <w:rPr>
      <w:b/>
      <w:bCs/>
    </w:rPr>
  </w:style>
  <w:style w:type="character" w:customStyle="1" w:styleId="aff0">
    <w:name w:val="Тема примечания Знак"/>
    <w:basedOn w:val="afe"/>
    <w:link w:val="aff"/>
    <w:uiPriority w:val="99"/>
    <w:semiHidden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7CB4F4-5387-42B3-B61D-C2F375CB3B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2</Pages>
  <Words>384</Words>
  <Characters>2189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Вьюн Дарья Анатольевна</dc:creator>
  <cp:lastModifiedBy>Мартынова Юлия Викторовна</cp:lastModifiedBy>
  <cp:revision>13</cp:revision>
  <cp:lastPrinted>2024-08-28T03:48:00Z</cp:lastPrinted>
  <dcterms:created xsi:type="dcterms:W3CDTF">2024-07-26T07:59:00Z</dcterms:created>
  <dcterms:modified xsi:type="dcterms:W3CDTF">2024-09-03T05:13:00Z</dcterms:modified>
</cp:coreProperties>
</file>