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FFB" w:rsidRDefault="00427FFB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7FFB" w:rsidRDefault="00427FFB">
      <w:pPr>
        <w:pStyle w:val="ConsPlusNormal"/>
        <w:jc w:val="both"/>
        <w:outlineLvl w:val="0"/>
      </w:pPr>
    </w:p>
    <w:p w:rsidR="00427FFB" w:rsidRDefault="00427FFB">
      <w:pPr>
        <w:pStyle w:val="ConsPlusNormal"/>
        <w:outlineLvl w:val="0"/>
      </w:pPr>
      <w:r>
        <w:t>Зарегистрировано в Минюсте России 22 июля 2019 г. N 55327</w:t>
      </w:r>
    </w:p>
    <w:p w:rsidR="00427FFB" w:rsidRDefault="00427F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Title"/>
        <w:jc w:val="center"/>
      </w:pPr>
      <w:r>
        <w:t>МИНИСТЕРСТВО СТРОИТЕЛЬСТВА И ЖИЛИЩНО-КОММУНАЛЬНОГО</w:t>
      </w:r>
    </w:p>
    <w:p w:rsidR="00427FFB" w:rsidRDefault="00427FFB">
      <w:pPr>
        <w:pStyle w:val="ConsPlusTitle"/>
        <w:jc w:val="center"/>
      </w:pPr>
      <w:r>
        <w:t>ХОЗЯЙСТВА РОССИЙСКОЙ ФЕДЕРАЦИИ</w:t>
      </w:r>
    </w:p>
    <w:p w:rsidR="00427FFB" w:rsidRDefault="00427FFB">
      <w:pPr>
        <w:pStyle w:val="ConsPlusTitle"/>
        <w:jc w:val="both"/>
      </w:pPr>
    </w:p>
    <w:p w:rsidR="00427FFB" w:rsidRDefault="00427FFB">
      <w:pPr>
        <w:pStyle w:val="ConsPlusTitle"/>
        <w:jc w:val="center"/>
      </w:pPr>
      <w:r>
        <w:t>ПРИКАЗ</w:t>
      </w:r>
    </w:p>
    <w:p w:rsidR="00427FFB" w:rsidRDefault="00427FFB">
      <w:pPr>
        <w:pStyle w:val="ConsPlusTitle"/>
        <w:jc w:val="center"/>
      </w:pPr>
      <w:r>
        <w:t>от 15 мая 2019 г. N 278/</w:t>
      </w:r>
      <w:proofErr w:type="spellStart"/>
      <w:proofErr w:type="gramStart"/>
      <w:r>
        <w:t>пр</w:t>
      </w:r>
      <w:proofErr w:type="spellEnd"/>
      <w:proofErr w:type="gramEnd"/>
    </w:p>
    <w:p w:rsidR="00427FFB" w:rsidRDefault="00427FFB">
      <w:pPr>
        <w:pStyle w:val="ConsPlusTitle"/>
        <w:jc w:val="both"/>
      </w:pPr>
    </w:p>
    <w:p w:rsidR="00427FFB" w:rsidRDefault="00427FFB">
      <w:pPr>
        <w:pStyle w:val="ConsPlusTitle"/>
        <w:jc w:val="center"/>
      </w:pPr>
      <w:r>
        <w:t>ОБ УТВЕРЖДЕНИИ ПОРЯДКА</w:t>
      </w:r>
    </w:p>
    <w:p w:rsidR="00427FFB" w:rsidRDefault="00427FFB">
      <w:pPr>
        <w:pStyle w:val="ConsPlusTitle"/>
        <w:jc w:val="center"/>
      </w:pPr>
      <w:r>
        <w:t>РАСЧЕТА НОРМАТИВА ОБЕСПЕЧЕННОСТИ ОБЯЗАТЕЛЬСТВ И НОРМАТИВА</w:t>
      </w:r>
    </w:p>
    <w:p w:rsidR="00427FFB" w:rsidRDefault="00427FFB">
      <w:pPr>
        <w:pStyle w:val="ConsPlusTitle"/>
        <w:jc w:val="center"/>
      </w:pPr>
      <w:r>
        <w:t>ЦЕЛЕВОГО ИСПОЛЬЗОВАНИЯ СРЕДСТВ</w:t>
      </w: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ind w:firstLine="540"/>
        <w:jc w:val="both"/>
      </w:pPr>
      <w:r>
        <w:t xml:space="preserve">В соответствии </w:t>
      </w:r>
      <w:hyperlink r:id="rId6">
        <w:r>
          <w:rPr>
            <w:color w:val="0000FF"/>
          </w:rPr>
          <w:t>пунктом 4</w:t>
        </w:r>
      </w:hyperlink>
      <w:r>
        <w:t xml:space="preserve"> постановления Правительства Российской Федерации от 26 декабря 2018 г. N 1683 "О нормативах финансовой устойчивости деятельности застройщика" (Собрание законодательства Российской Федерации, 2018, N 53, ст. 8712; 2019, N 11, ст. 1143) приказываю: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расчета норматива обеспеченности обязательств и норматива целевого использования средств.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>2. Признать не подлежащими применению:</w:t>
      </w:r>
    </w:p>
    <w:p w:rsidR="00427FFB" w:rsidRDefault="00427FFB">
      <w:pPr>
        <w:pStyle w:val="ConsPlusNormal"/>
        <w:spacing w:before="20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Федеральной службы по финансовым рынкам от 30 ноября 2006 г. N 06-137/</w:t>
      </w:r>
      <w:proofErr w:type="spellStart"/>
      <w:r>
        <w:t>пз</w:t>
      </w:r>
      <w:proofErr w:type="spellEnd"/>
      <w:r>
        <w:t xml:space="preserve">-н "Об утверждении Инструкции о порядке </w:t>
      </w:r>
      <w:proofErr w:type="gramStart"/>
      <w:r>
        <w:t>расчета нормативов оценки финансовой устойчивости деятельности</w:t>
      </w:r>
      <w:proofErr w:type="gramEnd"/>
      <w:r>
        <w:t xml:space="preserve"> застройщика" (зарегистрирован Министерством юстиции Российской Федерации 17 января 2007 г., регистрационный N 8760);</w:t>
      </w:r>
    </w:p>
    <w:p w:rsidR="00427FFB" w:rsidRDefault="00427FFB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Федеральной службы по финансовым рынкам от 03.12.2009 N 09-52/</w:t>
      </w:r>
      <w:proofErr w:type="spellStart"/>
      <w:r>
        <w:t>пз</w:t>
      </w:r>
      <w:proofErr w:type="spellEnd"/>
      <w:r>
        <w:t xml:space="preserve">-н "О внесении изменений в Инструкцию о порядке </w:t>
      </w:r>
      <w:proofErr w:type="gramStart"/>
      <w:r>
        <w:t>расчета нормативов оценки финансовой устойчивости деятельности</w:t>
      </w:r>
      <w:proofErr w:type="gramEnd"/>
      <w:r>
        <w:t xml:space="preserve"> застройщика, утвержденную Приказом ФСФР России от 30.11.2006 N 06-137/</w:t>
      </w:r>
      <w:proofErr w:type="spellStart"/>
      <w:r>
        <w:t>пз</w:t>
      </w:r>
      <w:proofErr w:type="spellEnd"/>
      <w:r>
        <w:t>-н" (зарегистрирован Министерством юстиции Российской Федерации 15 января 2010 г., регистрационный N 15980).</w:t>
      </w: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jc w:val="right"/>
      </w:pPr>
      <w:r>
        <w:t>Министр</w:t>
      </w:r>
    </w:p>
    <w:p w:rsidR="00427FFB" w:rsidRDefault="00427FFB">
      <w:pPr>
        <w:pStyle w:val="ConsPlusNormal"/>
        <w:jc w:val="right"/>
      </w:pPr>
      <w:r>
        <w:t>В.В.ЯКУШЕВ</w:t>
      </w: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jc w:val="right"/>
        <w:outlineLvl w:val="0"/>
      </w:pPr>
      <w:r>
        <w:t>Утвержден</w:t>
      </w:r>
    </w:p>
    <w:p w:rsidR="00427FFB" w:rsidRDefault="00427FFB">
      <w:pPr>
        <w:pStyle w:val="ConsPlusNormal"/>
        <w:jc w:val="right"/>
      </w:pPr>
      <w:r>
        <w:t>приказом Министерства строительства</w:t>
      </w:r>
    </w:p>
    <w:p w:rsidR="00427FFB" w:rsidRDefault="00427FFB">
      <w:pPr>
        <w:pStyle w:val="ConsPlusNormal"/>
        <w:jc w:val="right"/>
      </w:pPr>
      <w:r>
        <w:t>и жилищно-коммунального хозяйства</w:t>
      </w:r>
    </w:p>
    <w:p w:rsidR="00427FFB" w:rsidRDefault="00427FFB">
      <w:pPr>
        <w:pStyle w:val="ConsPlusNormal"/>
        <w:jc w:val="right"/>
      </w:pPr>
      <w:r>
        <w:t>Российской Федерации</w:t>
      </w:r>
    </w:p>
    <w:p w:rsidR="00427FFB" w:rsidRDefault="00427FFB">
      <w:pPr>
        <w:pStyle w:val="ConsPlusNormal"/>
        <w:jc w:val="right"/>
      </w:pPr>
      <w:r>
        <w:t>от 15 мая 2019 г. N 278/</w:t>
      </w:r>
      <w:proofErr w:type="spellStart"/>
      <w:proofErr w:type="gramStart"/>
      <w:r>
        <w:t>пр</w:t>
      </w:r>
      <w:proofErr w:type="spellEnd"/>
      <w:proofErr w:type="gramEnd"/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Title"/>
        <w:jc w:val="center"/>
      </w:pPr>
      <w:bookmarkStart w:id="0" w:name="P33"/>
      <w:bookmarkEnd w:id="0"/>
      <w:r>
        <w:t>ПОРЯДОК</w:t>
      </w:r>
    </w:p>
    <w:p w:rsidR="00427FFB" w:rsidRDefault="00427FFB">
      <w:pPr>
        <w:pStyle w:val="ConsPlusTitle"/>
        <w:jc w:val="center"/>
      </w:pPr>
      <w:r>
        <w:t>РАСЧЕТА НОРМАТИВА ОБЕСПЕЧЕННОСТИ ОБЯЗАТЕЛЬСТВ И НОРМАТИВА</w:t>
      </w:r>
    </w:p>
    <w:p w:rsidR="00427FFB" w:rsidRDefault="00427FFB">
      <w:pPr>
        <w:pStyle w:val="ConsPlusTitle"/>
        <w:jc w:val="center"/>
      </w:pPr>
      <w:r>
        <w:t>ЦЕЛЕВОГО ИСПОЛЬЗОВАНИЯ СРЕДСТВ</w:t>
      </w: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ind w:firstLine="540"/>
        <w:jc w:val="both"/>
      </w:pPr>
      <w:r>
        <w:t>1. Настоящий порядок определяет правила расчета застройщиком нормативов оценки финансовой устойчивости деятельности застройщика: норматива обеспеченности обязательств, норматива целевого использования средств.</w:t>
      </w:r>
    </w:p>
    <w:p w:rsidR="00427FFB" w:rsidRDefault="00427FFB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разделом III</w:t>
        </w:r>
      </w:hyperlink>
      <w:r>
        <w:t xml:space="preserve"> формы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строительства, утвержденной приказом </w:t>
      </w:r>
      <w:r>
        <w:lastRenderedPageBreak/>
        <w:t>Министерства строительства и жилищно-коммунального хозяйства Российской Федерации от 12 октября</w:t>
      </w:r>
      <w:proofErr w:type="gramEnd"/>
      <w:r>
        <w:t xml:space="preserve"> 2018 г. N 656/</w:t>
      </w:r>
      <w:proofErr w:type="spellStart"/>
      <w:proofErr w:type="gramStart"/>
      <w:r>
        <w:t>пр</w:t>
      </w:r>
      <w:proofErr w:type="spellEnd"/>
      <w:proofErr w:type="gramEnd"/>
      <w:r>
        <w:t xml:space="preserve"> (зарегистрирован Министерством юстиции Российской Федерации 21 февраля 2019 г., регистрационный N 53857), сведения о нормативах оценки финансовой устойчивости деятельности застройщика предоставляются им в составе указанной отчетности в орган исполнительной власти субъекта Российской Федерации, осуществляющий государственный контроль (надзор) в области долевого строительства многоквартирных домов и (или) иных объектов недвижимости, в соответствии с </w:t>
      </w:r>
      <w:hyperlink r:id="rId10">
        <w:r>
          <w:rPr>
            <w:color w:val="0000FF"/>
          </w:rPr>
          <w:t>пунктом 6 части 6 статьи 23</w:t>
        </w:r>
      </w:hyperlink>
      <w:r>
        <w:t xml:space="preserve"> Федерального закона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2018, N 53, ст. 8404).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 xml:space="preserve">2. Информация, необходимая для расчета застройщиком нормативов оценки финансовой устойчивости его деятельности, формируется на основании данных его бухгалтерского учета, договоров участия в долевом строительстве. Порядок получения сведений, необходимых для расчета нормативов обеспеченности обязательств и целевого использования средств, определяется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6 декабря 2011 года N 402-ФЗ "О бухгалтерском учете" (Собрание законодательства Российской Федерации, 2011, N 50, ст. 7344; </w:t>
      </w:r>
      <w:proofErr w:type="gramStart"/>
      <w:r>
        <w:t xml:space="preserve">2018, N 49, ст. 7516) и </w:t>
      </w:r>
      <w:hyperlink r:id="rId12">
        <w:r>
          <w:rPr>
            <w:color w:val="0000FF"/>
          </w:rPr>
          <w:t>Положением</w:t>
        </w:r>
      </w:hyperlink>
      <w:r>
        <w:t xml:space="preserve"> по бухгалтерскому учету "Бухгалтерская отчетность организации" (ПБУ 4/99), утвержденным приказом Министерства финансов Российской Федерации от 6 июля 1999 г. N 43н (по заключению Министерства юстиции Российской Федерации от 6 августа 1999 г. N 6417-ПК данный приказ не нуждается в государственной регистрации), с изменениями, внесенными приказами Министерства финансов Российской Федерации от 18 сентября</w:t>
      </w:r>
      <w:proofErr w:type="gramEnd"/>
      <w:r>
        <w:t xml:space="preserve"> </w:t>
      </w:r>
      <w:proofErr w:type="gramStart"/>
      <w:r>
        <w:t>2006 г. N 115н (по заключению Министерства юстиции Российской Федерации от 27 октября 2006 г. N 01/9423-СВ данный приказ не нуждается в государственной регистрации) и от 8 ноября 2010 г. N 142н (по заключению Министерства юстиции Российской Федерации от 10 декабря 2010 г. N 01/28429-ДК данный приказ не нуждается в государственной регистрации).</w:t>
      </w:r>
      <w:proofErr w:type="gramEnd"/>
    </w:p>
    <w:p w:rsidR="00427FFB" w:rsidRDefault="00427FFB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С учетом требований </w:t>
      </w:r>
      <w:hyperlink r:id="rId13">
        <w:r>
          <w:rPr>
            <w:color w:val="0000FF"/>
          </w:rPr>
          <w:t>пункта 6</w:t>
        </w:r>
      </w:hyperlink>
      <w:r>
        <w:t xml:space="preserve"> Порядка предоставления застройщиком отчетности об осуществлении деятельности, связанной с привлечением денежных средств участников 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обязательств по договорам, сводной накопительной ведомости проекта строительства в орган исполнительной власти субъекта Российской Федерации, осуществляющий государственный контроль</w:t>
      </w:r>
      <w:proofErr w:type="gramEnd"/>
      <w:r>
        <w:t xml:space="preserve"> (надзор) в области долевого строительства многоквартирных домов и (или) иных объектов недвижимости, утвержденного приказом Министерства строительства и жилищно-коммунального хозяйства Российской Федерации от 12 октября 2018 г. N 656/</w:t>
      </w:r>
      <w:proofErr w:type="spellStart"/>
      <w:proofErr w:type="gramStart"/>
      <w:r>
        <w:t>пр</w:t>
      </w:r>
      <w:proofErr w:type="spellEnd"/>
      <w:proofErr w:type="gramEnd"/>
      <w:r>
        <w:t>, расчет нормативов обеспеченности обязательств и целевого использования средств осуществляется застройщиком ежеквартально по состоянию на последний календарный день отчетного периода.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>4. Норматив обеспеченности обязательств (Н</w:t>
      </w:r>
      <w:proofErr w:type="gramStart"/>
      <w:r>
        <w:t>1</w:t>
      </w:r>
      <w:proofErr w:type="gramEnd"/>
      <w:r>
        <w:t>) рассчитывается застройщиком по следующей формуле:</w:t>
      </w: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ind w:firstLine="540"/>
        <w:jc w:val="both"/>
      </w:pPr>
      <w:r>
        <w:rPr>
          <w:noProof/>
          <w:position w:val="-20"/>
        </w:rPr>
        <w:drawing>
          <wp:inline distT="0" distB="0" distL="0" distR="0">
            <wp:extent cx="560705" cy="3917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ind w:firstLine="540"/>
        <w:jc w:val="both"/>
      </w:pPr>
      <w:r>
        <w:t>где: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>А - сумма активов застройщика, рублей;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>О - сумма обязательств застройщика по договорам участия в долевом строительстве, рублей.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>Обязательства застройщика по договорам участия в долевом строительстве определяются исходя из цены договора участия в долевом строительстве.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>5. Норматив целевого использования средств (Н</w:t>
      </w:r>
      <w:proofErr w:type="gramStart"/>
      <w:r>
        <w:t>2</w:t>
      </w:r>
      <w:proofErr w:type="gramEnd"/>
      <w:r>
        <w:t>) рассчитывается застройщиком по следующей формуле:</w:t>
      </w: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ind w:firstLine="540"/>
        <w:jc w:val="both"/>
      </w:pPr>
      <w:r>
        <w:rPr>
          <w:noProof/>
          <w:position w:val="-23"/>
        </w:rPr>
        <w:drawing>
          <wp:inline distT="0" distB="0" distL="0" distR="0">
            <wp:extent cx="1017905" cy="42989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ind w:firstLine="540"/>
        <w:jc w:val="both"/>
      </w:pPr>
      <w:r>
        <w:lastRenderedPageBreak/>
        <w:t>где: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>Ан - сумма активов застройщика, не связанных со строительством, рублей.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 xml:space="preserve">Сумма активов застройщика, не связанных со строительством, включает в себя следующие показатели: </w:t>
      </w:r>
      <w:proofErr w:type="spellStart"/>
      <w:r>
        <w:t>внеоборотные</w:t>
      </w:r>
      <w:proofErr w:type="spellEnd"/>
      <w:r>
        <w:t xml:space="preserve"> активы, дебиторская задолженность, краткосрочные финансовые вложения за вычетом суммы активов незавершенного строительства и денежных средств участников долевого строительства, предоставленных с отсрочкой платежа.</w:t>
      </w:r>
    </w:p>
    <w:p w:rsidR="00427FFB" w:rsidRDefault="00427FFB">
      <w:pPr>
        <w:pStyle w:val="ConsPlusNormal"/>
        <w:spacing w:before="200"/>
        <w:ind w:firstLine="540"/>
        <w:jc w:val="both"/>
      </w:pPr>
      <w:r>
        <w:t>Д - общая сумма обязательств застройщика, уменьшенная на величину обязательств по договорам участия в долевом строительстве, рублей;</w:t>
      </w:r>
    </w:p>
    <w:p w:rsidR="00427FFB" w:rsidRDefault="00427FFB">
      <w:pPr>
        <w:pStyle w:val="ConsPlusNormal"/>
        <w:spacing w:before="200"/>
        <w:ind w:firstLine="540"/>
        <w:jc w:val="both"/>
      </w:pPr>
      <w:proofErr w:type="gramStart"/>
      <w:r>
        <w:t xml:space="preserve">ЧА - сумма чистых активов застройщика, определяемая в соответствии с </w:t>
      </w:r>
      <w:hyperlink r:id="rId16">
        <w:r>
          <w:rPr>
            <w:color w:val="0000FF"/>
          </w:rPr>
          <w:t>Порядком</w:t>
        </w:r>
      </w:hyperlink>
      <w:r>
        <w:t xml:space="preserve"> определения стоимости чистых активов, утвержденным приказом Министерства финансов Российской Федерации от 28 августа 2014 г. N 84н (зарегистрирован Министерством юстиции Российской Федерации 14 октября 2014 г., регистрационный N 34299), с изменениями, внесенными приказом Министерства финансов Российской Федерации от 21 февраля 2018 г. N 30н (зарегистрирован Министерством юстиции Российской Федерации 13</w:t>
      </w:r>
      <w:proofErr w:type="gramEnd"/>
      <w:r>
        <w:t xml:space="preserve"> марта 2018 г., </w:t>
      </w:r>
      <w:proofErr w:type="gramStart"/>
      <w:r>
        <w:t>регистрационный</w:t>
      </w:r>
      <w:proofErr w:type="gramEnd"/>
      <w:r>
        <w:t xml:space="preserve"> N 50332), рублей.</w:t>
      </w: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jc w:val="both"/>
      </w:pPr>
    </w:p>
    <w:p w:rsidR="00427FFB" w:rsidRDefault="00427F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010" w:rsidRDefault="00427FFB">
      <w:bookmarkStart w:id="1" w:name="_GoBack"/>
      <w:bookmarkEnd w:id="1"/>
    </w:p>
    <w:sectPr w:rsidR="00E36010" w:rsidSect="0062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FB"/>
    <w:rsid w:val="002E736C"/>
    <w:rsid w:val="00427FFB"/>
    <w:rsid w:val="00B1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F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27F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27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F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27FF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27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B834EA5B835667B67212B9550B5AB11B8EE6C463F8DC878A14F1106F8473980FC1B6358518260409E7BC1v8nEI" TargetMode="External"/><Relationship Id="rId13" Type="http://schemas.openxmlformats.org/officeDocument/2006/relationships/hyperlink" Target="consultantplus://offline/ref=9ADB834EA5B835667B67212B9550B5AB1BBAE86D403CD0C270F8431301F7183C87ED1B605B4F866C57972F92C8032A9FD892421F9C3411A5v5nB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DB834EA5B835667B67212B9550B5AB11B8EE684C3F8DC878A14F1106F8473980FC1B6358518260409E7BC1v8nEI" TargetMode="External"/><Relationship Id="rId12" Type="http://schemas.openxmlformats.org/officeDocument/2006/relationships/hyperlink" Target="consultantplus://offline/ref=9ADB834EA5B835667B67212B9550B5AB19BEED674335D0C270F8431301F7183C87ED1B605B4F82695F972F92C8032A9FD892421F9C3411A5v5nB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DB834EA5B835667B67212B9550B5AB1BB9EB6C4337D0C270F8431301F7183C87ED1B605B4F82695D972F92C8032A9FD892421F9C3411A5v5n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DB834EA5B835667B67212B9550B5AB1BBCEA6D4C35D0C270F8431301F7183C87ED1B605B4F82695B972F92C8032A9FD892421F9C3411A5v5nBI" TargetMode="External"/><Relationship Id="rId11" Type="http://schemas.openxmlformats.org/officeDocument/2006/relationships/hyperlink" Target="consultantplus://offline/ref=9ADB834EA5B835667B67212B9550B5AB1BB6E36B4434D0C270F8431301F7183C95ED436C594C9C68568279C38Ev5n4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image" Target="media/image2.wmf"/><Relationship Id="rId10" Type="http://schemas.openxmlformats.org/officeDocument/2006/relationships/hyperlink" Target="consultantplus://offline/ref=9ADB834EA5B835667B67212B9550B5AB1CBFEB6B4237D0C270F8431301F7183C87ED1B605B4F846158972F92C8032A9FD892421F9C3411A5v5n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DB834EA5B835667B67212B9550B5AB1BBAE86D403CD0C270F8431301F7183C87ED1B635A4D893C0FD82ECE8E55399DD392401780v3n4I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Валентина Рафитовна</dc:creator>
  <cp:lastModifiedBy>Майорова Валентина Рафитовна</cp:lastModifiedBy>
  <cp:revision>1</cp:revision>
  <dcterms:created xsi:type="dcterms:W3CDTF">2022-08-23T08:39:00Z</dcterms:created>
  <dcterms:modified xsi:type="dcterms:W3CDTF">2022-08-23T08:40:00Z</dcterms:modified>
</cp:coreProperties>
</file>