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ПРИЛОЖЕНИЕ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 приказу министерства строительства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от28.12.2024 № 909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«УТВЕРЖДЕНЫ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приказом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министерства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строительства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9921"/>
        <w:jc w:val="center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от 21.02.2024 № 94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7767"/>
        <w:jc w:val="right"/>
        <w:spacing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right"/>
        <w:spacing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right"/>
        <w:spacing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t xml:space="preserve">Сведения о порядке сбора информации и методике расчета показателей, включенных в паспорт государственной программы и ее структурных элементов</w:t>
      </w:r>
      <w:r>
        <w:rPr>
          <w:rFonts w:ascii="Times New Roman" w:hAnsi="Times New Roman" w:cs="Times New Roman"/>
          <w:b/>
          <w:bCs/>
          <w:color w:val="000000" w:themeColor="text1"/>
        </w:rPr>
      </w:r>
      <w:r>
        <w:rPr>
          <w:rFonts w:ascii="Times New Roman" w:hAnsi="Times New Roman" w:cs="Times New Roman"/>
          <w:b/>
          <w:bCs/>
          <w:color w:val="000000" w:themeColor="text1"/>
        </w:rPr>
      </w:r>
    </w:p>
    <w:tbl>
      <w:tblPr>
        <w:tblStyle w:val="709"/>
        <w:tblW w:w="0" w:type="auto"/>
        <w:tblLayout w:type="fixed"/>
        <w:tblLook w:val="04A0" w:firstRow="1" w:lastRow="0" w:firstColumn="1" w:lastColumn="0" w:noHBand="0" w:noVBand="1"/>
      </w:tblPr>
      <w:tblGrid>
        <w:gridCol w:w="2914"/>
        <w:gridCol w:w="1763"/>
        <w:gridCol w:w="2835"/>
        <w:gridCol w:w="4144"/>
        <w:gridCol w:w="2914"/>
      </w:tblGrid>
      <w:tr>
        <w:tblPrEx/>
        <w:trPr/>
        <w:tc>
          <w:tcPr>
            <w:tcW w:w="2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Периодичность сбора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Вид временной характеристики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Методика расчета (плановых и фактических значений)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1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Источник получения данных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49"/>
        </w:trPr>
        <w:tc>
          <w:tcPr>
            <w:tcW w:w="29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5"/>
            <w:tcW w:w="145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Показатели государственной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291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Объем жилищного строительства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накопительный итог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Плановые значения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устанавливаются в соответствии с приложением 3 «Результаты федерального проекта по субъектам Российской Федерации» пасп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орта федерального проекта «Жилье».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Фактические значения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определяются на основании данных официальной статистической отчетности, сложившихся за отчетный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14" w:type="dxa"/>
            <w:textDirection w:val="lrTb"/>
            <w:noWrap w:val="false"/>
          </w:tcPr>
          <w:p>
            <w:pPr>
              <w:jc w:val="center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Официальная статистическая отчетность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- каталог 15.46 статистический бюллетень «Сведения о вводе жилья по муниципальным образованиям Новосибирской области»,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hd w:val="clear" w:color="ffffff" w:fill="ffff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- статистический сборник по каталогу 1.17 «Строительство и инвестиции в Новосибирской области»,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hd w:val="clear" w:color="ffffff" w:fill="ffffff"/>
              <w:rPr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- справка adm-15-252 «Сведения о вводе в эксплуатацию жилых домов по муниципальным образованиям Новосибирской области»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gridSpan w:val="5"/>
            <w:tcW w:w="1457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Прокси-показатели государственной программы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W w:w="2914" w:type="dxa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Ввод жилья в рамках мероприятия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стимулированию программ развития жилищного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строительства субъектов Российской Федерации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strike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показателя определяется как сумма объемов жилья на площадках комплексной застройки, планируемых к вводу в эксплуатацию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соответствующем году и плановом периоде исходя из объемов бюджетных ассигнований из федерального бюджета (федеральный проект «Жилье»).</w:t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определяется как сумма объемов жилья на площадках комплексной застройки, введенных в эксплуатацию в соответствующем году в рамках федерального проекта «Жилье».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14" w:type="dxa"/>
            <w:textDirection w:val="lrTb"/>
            <w:noWrap w:val="false"/>
          </w:tcPr>
          <w:p>
            <w:pPr>
              <w:pStyle w:val="855"/>
              <w:ind w:left="34" w:hanging="1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Мониторинг муниципальных образований, участвующих в федеральном проекте </w:t>
            </w:r>
            <w:r>
              <w:rPr>
                <w:color w:val="000000" w:themeColor="text1"/>
                <w:sz w:val="22"/>
                <w:szCs w:val="22"/>
              </w:rPr>
              <w:t xml:space="preserve">«Жилье»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, отчетность Минстроя НСО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56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«Градостроительное развитие территорий Новосибирской области»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подготовленной градостроительной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документации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 рассчитывается в рамках доведенных до муниципальных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образований Новосибирской области бюджетных ассигнований на очередной финансовый год и плановый период по результатам отбора муниципальных образований Новосибирской области для предоставления субсидий на градостроительную подготовку территорий Новосибирско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й области (далее – Отбор), где результатом Отбора является перечень муниципальных образований Новосибирской области - участников отбора, ранжированный по очередности предоставления субсидий по каждому из проектов документов, подготовка которых планируется.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рассчитывается на основании отчетов муниципальных образований Новосибирской области о расходовании субсидии на финансирование расходов на подготовку градостроительной документации и (или) внесение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изменений в нее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 мероприятию (результату)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000010.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ind w:firstLine="227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Отчетность органов местного самоуправления муниципальных районов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Объем предоставленных субъектам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градостроительных отношений пространственных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данных и материалов в бумажном и электронном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виде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показателя определяется на основании прогнозирования деятельности ГБУ НСО «Фонд пространственных данных Новосибирской области» (далее – ГБУ НСО «Геофонд НСО) по состоянию на отчетную дату.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определяется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на основании мер, запланированных в рамках реализации мероприятий (результатов)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000441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Постановлением Правительства Новосибирской области от 06.11.2018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br/>
              <w:t xml:space="preserve">№ 461-п «Об установлении стоимости базовой расчетной единицы при предоставлении пространственных данных и материалов, содержа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щихся в фонде пространственных данных Новосибирской области» определен перечень базовых расчетных единиц при предоставлении пространственных данных и материалов, содержащихся в фонде пространственных данных Новосибирской области и установлена их стоимость.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Отчетность ГБУ НСО «Геофонд НСО»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157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подготовленной градостроительной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документации муниципальных образований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Новосибирской агломерации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 определяется государственным заданием ГБУ НСО «Геофонд НСО» на финансовый год и плановый период.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widowControl w:val="off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рассчитывается на основании отчетов ГБУ НСО «Геофонд НСО»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 мероприятию (результату)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000441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Отчетность ГБУ НСО «Геофонд НСО»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685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организованных выставочно-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ярмарочных и конгрессных мероприятий, в том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числе, мероприятий, в которых обеспечено участие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министерства строительства Новосибирской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области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показателя определяется в соответствии с Планом приоритетных выставочно-ярмарочных и конгрессных мероприятий Новосибирской области с учетом бюджетных ассигнований, определенных законом об областном бюджете на очередной финансовый год.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определяется на основе отчетной информации Минстроя НСО, полученной по результатам выполненных работ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 рамках реализации мероприятий (результатов)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000442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color w:val="000000" w:themeColor="text1"/>
                <w:sz w:val="22"/>
                <w:szCs w:val="22"/>
                <w:lang w:eastAsia="ru-RU"/>
              </w:rPr>
              <w:t xml:space="preserve">Отчетность Минстроя НСО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256"/>
        </w:trPr>
        <w:tc>
          <w:tcPr>
            <w:gridSpan w:val="5"/>
            <w:tcW w:w="145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«Государственная поддержка при завершении строительства «проблемных» жилых домов»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110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«проблемных» объектов,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обеспеченных инженерной инфраструктурой,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лифтами и благоустройством придомовой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территории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 определяется в соответствии с «дорожными картами» по завершению стр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оительства «проблемных» объектов, представленными муниципальными образованиями Новосибирской области, с учетом мер, запланированных мероприятием (результатом)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000024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определяется по итогам обеспечения в полном объеме проблемных жилых домов инженерной инфраструктурой, благоустройством и лифтами в рамках предусмотренных бюджетных ассигнований законом об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областном бюджете на очередной финансовый год.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Мониторинг муниципальных образований, участвующих в реализации мероприятия (результата)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граждан, пострадавших от действий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недобросовестных застройщиков, получивших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субсидии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рассчитывается как отношение суммы средств, запланированных на реализацию мероприятия (результата)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, к среднему размеру субсидии, предоставляемой одному получателю.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left="34"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Фактическое значение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оп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ределяется путем подсчета количества граждан, фактически получивших субсидию за отчетный период с учетом мер, запланированных мероприятием (результатом)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000025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Отчетность Минстроя НСО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Прокси-показатель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Количество «проблемных» объектов, обеспеченных инженерной инфраструктурой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квартальная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нарастающий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показателя определяется в соответствии с «дорожными картами» по завершению стр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оительства «проблемных» объектов, представленными муниципальными образованиями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определяется по итогам обеспечения проблемных жилых домов инженерной инфраструктурой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 муниципальных образований о расходовании денежных средств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Количество «проблемных» объектов, обеспеченных лифтами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квартальная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нарастающий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показателя определяется в соответствии с «дорожными картами» по завершению стр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оительства «проблемных» объектов, представленными муниципальными образованиями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определяется по итогам обеспечения проблемных жилых домов лифтами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 муниципальных образований о расходовании денежных средств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Количество «проблемных» объектов, обеспеченных благоустройством придомовой территории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квартальная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нарастающий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показателя определяется в соответствии с «дорожными картами» по завершению стр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оительства «проблемных» объектов, представленными муниципальными образованиями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определяется по итогам обеспечения проблемных жилых домов благоустройством придомовой территории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 муниципальных образований о расходовании денежных средств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«Государственная поддержка отдельных категорий граждан на улучшение жилищных условий»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граждан отдельных категорий,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которым предоставлены субсидии для оплаты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приобретаемых (строящихся) жилых помещений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соответствии с постановлением Губернатора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Новосибирской области от 04.02.2008 № 31 «Об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утверждении Положения о порядке и размерах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предоставления отдельным категориям граждан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субсидий для приобретения или строительства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жилых помещений в Новосибирской области за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счет средств областного бюджета Новосибирской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области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Плановое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показателя рассчитывается как отношение суммы средств, запланированных на реализацию мероприятия (результата)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к среднему размеру субсидии, предоставляемой одному получателю.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ind w:firstLine="209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Фактическое значение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определяется путем подсчета количества граждан, фактически получивших субсидию за отчетный период с учетом мер, запланированных мероприятием (результатом)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000026.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Отчетность </w:t>
            </w:r>
            <w:r>
              <w:rPr>
                <w:rFonts w:ascii="Times New Roman" w:hAnsi="Times New Roman" w:eastAsia="Times New Roman"/>
                <w:color w:val="000000" w:themeColor="text1"/>
                <w:sz w:val="22"/>
                <w:szCs w:val="22"/>
                <w:lang w:eastAsia="ru-RU"/>
              </w:rPr>
              <w:t xml:space="preserve">Минстроя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НСО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41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Количес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тво многодетных малообеспеченных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  <w:t xml:space="preserve">семей, обеспеченных жилыми помещениями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pStyle w:val="855"/>
              <w:ind w:firstLine="23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показателя рассчитывается как отношение суммы средств, запланированных на реализацию мероприятия (результата)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000027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, к расчетному размеру субсидии, предоставляемой на обеспечение жильем од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ной многодетной малообеспеченной</w:t>
            </w:r>
            <w:bookmarkStart w:id="0" w:name="undefined"/>
            <w:r>
              <w:rPr>
                <w:highlight w:val="none"/>
              </w:rPr>
            </w:r>
            <w:bookmarkEnd w:id="0"/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семьи.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3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определяется путем подсчета количества граждан, фактически обеспеченных жилыми помещениями, с учетом мер, запланированных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мероприятием (результатом)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000027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Отчетность органов местного самоуправления муниципальных районов и городских округов,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отчетность Минстрой НСО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«Содействие созданию специализированного жилищного фонда на территории Новосибирской области»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lang w:val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</w:rPr>
              <w:t xml:space="preserve">Количество жилых помещений, построенных (приобретенных на первичном рынке) для предоставления отдельным категориям граждан, проживающих и работающи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</w:rPr>
              <w:t xml:space="preserve">х на территории Новосибирской области,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</w:rPr>
              <w:t xml:space="preserve">в качестве служебного жилья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ru-RU"/>
                <w14:ligatures w14:val="none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Плановое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показателя рассчитывается как отношение суммы средств, запланированных на реализацию мероприятия (результата)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000028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,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к расчетной стоимости 1 квартиры.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Фактическое значение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определяется путем подсчета квартир, построенных (приобретенных на первичном рынке) для предоставления отдельным категориям граждан, проживающих и работающих на территории Новосибирской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области, в качестве служебного жилья, с учетом мер, запланированных мероприятием (результатом)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000028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Отчетность органов местного самоуправления муниципальных районов и городских округов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Количество домов, по которым разработана проектно-сметная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документация, получившая положительное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заключение ГБУ НСО «Государственная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вневедомственная экспертиза Новосибирской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области»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Плановое значение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показателя определяется как значение равное количеству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домов, запланированных к строительству на следующий год,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предназначенных для служебного жилья для отдельных категорий работников бюджетной сферы и  для детей-сиро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т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Фактическое значение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определяется путем подсчета количества домов, по которым разработана проектно - сметная документация, получившая положительное заключение ГБУ НСО «Государственная вневедомственная экспертиза Новосибирской области»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(мероприятие – результат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000029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).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855"/>
              <w:ind w:firstLine="237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Отчетность органов местного самоуправления муниципальных районов и городских округов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Комплекс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«Обеспечение жильем молодых семей»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молодых семей, родивших (усыновивших) одного ребенка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Плановое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показателя рассчитывается как отношение суммы средств, запланированных на реализацию мероприятия (результата)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000031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, к среднему размеру социальной выплаты, предоставляемой на обеспечение жильем одного члена молодой семьи.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Фактическое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определяется путем подсчета количества семей, получившим социальную выплату в текущем году и роди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вшим (усыновившим) ребенка, фактически обеспеченных средствами дополнительной социальной выплаты, с учетом мер, запланированных мероприятием (результатом)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000031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Информация муниципальных образований Новосибирской области. 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1134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семей отдельных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категорий граждан Российской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Федерации, обеспеченных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жильем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годовая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накопительный итог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Плановое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показателя установлено «нефинансовым» соглашением о реализации на территории Новосибирской области государственных программ субъекта Российской Федерации, направленных на достижение целей и пока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зателей государственной программы Российской Федерации «Обеспечение доступным и комфортным жильем и коммунальными услугами граждан Российской Федерации» от 19.12.2022 № 2022-01105, заключенным между Минстроем России и Правительством Новосибирской области.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Фактическое значение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определяется по формуле: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МСОмо = МСО1 +МСО2 + МСО3 +… + МСОn , где</w:t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МСО –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количество молодых семей, получивших свидетельство о праве на получение социальной выплаты на приобретение (строительство) жилого помещения;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:highlight w:val="white"/>
              </w:rPr>
              <w:t xml:space="preserve">n –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 муниципальные образования Новосибирской области. 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Показатель введен с 2023 года, формируется нарастающим итогом, начиная с 2022 года. На 2022 год приведено базовое значение.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 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0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(Мероприятие – результат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000624).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pStyle w:val="855"/>
              <w:jc w:val="center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color w:val="000000" w:themeColor="text1"/>
                <w:sz w:val="22"/>
                <w:szCs w:val="22"/>
                <w:highlight w:val="white"/>
              </w:rPr>
              <w:t xml:space="preserve">Отчетность муниципальных образований Новосибирской области,  «нефинансовое» соглашение о реализации на территории Новосибирской области государственных программ субъекта Российской Федерации от 19.12.2022 № 2022-01105.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Ведомственный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«Организация комплексного освоения земельных участков в рамках деятельности АО «АРЖС НСО»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объектов инфраструктуры, созданных для комплексного освоения земельных участков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определяется исходя из потребности обеспечения территории видами инфраструктуры.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Количество объектов инфраструктуры, созданных для комплексного освоения земельных участков, рассчитывается как сумма объектов инфраструктуры, созданных при строительстве и (или) технологическом присоединении.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В рамках каждого из видов сетей инженер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но - технологического обеспечения учитывается при расчете показателя только один объект инфраструктуры при строительстве и только один объект инфраструктуры при технологическом присоединении, вне зависимости от фактического количества создаваемых объектов.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на основе отчетной информации АО «АРЖС НСО» (новый инвестиционный проект «Территория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поселка Клюквенный (ул. Подневича) в Калининском районе г. Новосибирска»,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инфраструктурны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роект по реализации I этапа инвестиционного проекта «Территория инновационной и научно-образовательной деятельности «СмартСити-Новосибирск»).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(результат) -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000644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00064</w:t>
            </w:r>
            <w:r>
              <w:rPr>
                <w:color w:val="000000" w:themeColor="text1"/>
                <w:sz w:val="22"/>
                <w:szCs w:val="22"/>
                <w:highlight w:val="none"/>
              </w:rPr>
              <w:t xml:space="preserve">7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ind w:firstLine="227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АО «АРЖС НСО»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Прокси-показатель ведомственного проекта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70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заключенных договоров технологического присоединения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накопительный итог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определяется исходя из потребности обеспечения территории видами инфраструктурой в рамках договоров технологического присоединения.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Количество заключенных договоров технологического присоединения рассчитывается как сумма заключенных договоров технологического присоединения.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В случае заключения в рамках одного вида сетей инженерно-технологического обеспечения нескольких договоров технологического присоединения, они учитываются как один договор технологического присоединения.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определяется на основе отчетной информации АО «АРЖС НСО» (новый инвестицио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нный проект «Территория поселка Клюквенный (ул. Подневича) в Калининском районе г. Новосибирска»,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инфраструктурны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роект по реализации I этапа инвестиционного проекта «Территория инновационной и научно-образовательной деятельности «СмартСити-Новосибирск»).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ind w:firstLine="227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АО «АРЖС НСО»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объектов транспортной, инженерной,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энергетической и коммунальной инфраструктуры,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по которым выполнены проектно-изыскательские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работы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накопительный итог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определяется исходя из потребности проведения проектно-изыскательских работ в отношении объектов транспортной, инженерной, энергетической и коммунальной инфраструктуры.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Показатель рассчитывается как сумма объектов, в отношении которых выполнены проектно-изыскательские работы.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В случае выполнения проектно-изыскательских работ на несколько объектов в рамках одного вида сетей инженерно - технологического обеспечения, количество объектов инженерной, энергетической и коммунальной инфраструктуры принимается за единицу.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В случае выполнения проектно-изыскательских работ на несколько объектов в отношении транспортной инфраструктуры, количество объектов инфраструктуры принимается за единицу.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на основе отчетной информации АО «АРЖС НСО» (новый инвестиционный проект «Территория поселка Клюквенный (ул. Подневича) в Калининском районе г. Новосибирска»).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ind w:firstLine="227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АО «АРЖС НСО»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Ведомственный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«Инфраструктурное обеспечение территорий для жилищного строительства»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Площадь жилья, ввод которого потенциально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возможен в границах площадок комплексной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застройки, по которым оказано содействие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муниципальным образованиям по обеспечению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инженерной инфраструктурой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как площадь жилья, ввод которого потенциально возможен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границах площадок 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омплексной застройки, по которым оказано содействие муниципальным образованиям по обеспечению инженерной инфраструктурой, определяемой на основании градостроительной документации или на основании документации по архитектурно - строительному проектированию.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на основе отчетной информации муниципальн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ых образований (новы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strike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инвестиционны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проект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в микрорайоне «Чистая Слобода»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Ленинско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район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города Новосибирска).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(результат)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000634.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Муниципальное образование (Мэрия г. Новосибирска)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Площадь земельных участков, по которым оказано содействие муниципальным образованиям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обеспечению инженерной инфраструктурой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оказателя определяется как  сумма площадей земельных участков, по которым оказано содействие муниципальным образованиям по обеспечению инженерной инфраструктурой.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определяется на основе отчетной информации муниципальных образований (новы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инвестиционны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проект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в микрорайоне «Чистая Слобода»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Лени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нс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ко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район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города Новосибирска).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(результат) -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000634.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Муниципальное образование (Мэрия г. Новосибирска)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Площадь жилья, ввод которого потенциально возможен в границах площадок комплексной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застройки, по которым выполнены мероприятия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обеспечению инженерной инфраструктурой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оказателя определяется как площадь жилья, ввод которого потенциально возможен в границах площадок комплексной застройки, по которым оказано содействие юридическим лицам (за исключением государственных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(муниципальных) образований) по обеспечению инженерной инфраструктурой, определяемой на основании градостроительной документации или на основании документации по архитектурно - строительному проектированию.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на основе отчетной информации юридических лиц, которым предоставляет субсидия (инфраструктурные проекты: «Создание объектов инженерной, эне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ргетической и коммунальной инфраструктуры в целях обеспечения реализации инвестиционного проекта комплексной застройки «Жилой микрорайон Карьер Мочище» в п. Озерный Мочищенского сельсовета Новосибирской области» (ООО «СД Карьер»); «Создание объектов инжене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рной, энергетической и коммунальной инфраструктуры в целях реализации жилищного строительства в п. Озерный Мочищенского сельсовета Новосибирской области» (ООО «СЗ «Антей»); «Создание объекта коммунальной инфраструктуры  в целях реализации строительства мно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гоквартирных жилых домов с помещениями общественного назначения по ул. Зорге в г. Новосибирске» (ООО «СЗ «Темпо»); «Создание объектов инженерной, энергетической и коммунальной инфраструктуры в целях обеспечения реализации инвестиционного проекта жилищного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строительства «Скандинавские кварталы» в Первомайском районе г. Новосибирска» (ООО «Строительные решения. Специализированный застройщик).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855"/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ьтат)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000638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000640,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000641.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Юридические лица, которым предоставляется субсидия (ООО «СД Карьер», ООО «СЗ «Антей»,ООО «СЗ «Темпо», ООО «Строительные решения.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Специализированный застройщик»)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Площадь земельных участков, по которым выполнены мероприятия по обеспечению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инженерной инфраструктурой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оказателя определяется как  сумма площадей земельных участков, по которым оказано содействие юридическим лицам  (за исключением государственных (муниципальных) образований) по обеспечению инженерной инфраструктурой.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определяется на основе отчетной информации юридических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лиц, которым предоставляет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субсидия  (инфраструктурные проекты: «Создание объектов инженерной, энергетической и коммунальной инфраструктуры в целях обеспечения ре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ализации инвестиционного проекта комплексной застройки «Жилой микрорайон Карьер Мочище» в п. Озерный Мочищенского сельсовета Новосибирской области» (ООО «СД Карьер»); «Создание объектов инженерной, энергетической и коммунальной инфраструктуры в целях реали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зации жилищного строительства в п. Озерный Мочищенского сельсовета Новосибирской области» (ООО «СЗ «Антей»); «Создание объекта коммунальной инфраструктуры  в целях реализации строительства многоквартирных жилых домов с помещениями общественного назначения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по ул. Зорге в г. Новосибирске» (ООО «СЗ «Темпо»); «Создание объектов инж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енерной, энергетической и коммунальной инфраструктуры в целях обеспечения реализации инвестиционного проекта жилищного строительства «Скандинавские кварталы» в Первомайском районе г. Новосибирска» (ООО «Строительные решения. Специализированный застройщик).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855"/>
              <w:ind w:firstLine="227"/>
              <w:jc w:val="both"/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Мероприятие (резул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ьтат)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000636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000638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000640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000641</w:t>
            </w:r>
            <w:r>
              <w:rPr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Юридические лица, которым предоставл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яет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субсидия (ООО «СД Карьер», ООО «СЗ «Антей»,ООО «СЗ «Темпо», ООО «Строительные решения. Специализированный застройщик»)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gridSpan w:val="5"/>
            <w:tcW w:w="145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Прокси-показатель ведомственного проекта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объектов, созданных органами местного самоуправления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определяется исходя из потребности обеспечения территории видами инфраструктуры.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Показатель рассчитывается как сумма объектов, необходимых для обеспечения комплексной жилой застройки инженерной инфраструк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турой.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определяется на основе отчетной информации муниципальных образований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новы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инвестиционны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проект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в микрорайоне «Чистая Слобода»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Ленинско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район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города Новосибирска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cyan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Муниципальное образование (Мэрия г. Новосибирска)</w:t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  <w:tr>
        <w:tblPrEx/>
        <w:trPr>
          <w:trHeight w:val="253"/>
        </w:trPr>
        <w:tc>
          <w:tcPr>
            <w:tcW w:w="291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Количество заключенных договоров технологического присоединения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176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месячная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дискретный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tcW w:w="4144" w:type="dxa"/>
            <w:vMerge w:val="restart"/>
            <w:textDirection w:val="lrTb"/>
            <w:noWrap w:val="false"/>
          </w:tcPr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Плановое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показателя определяется исходя из потребности обеспечения территории видами инфраструктуры.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Количество заключенных договоров технологического присоединения рассчитывается как сумма заключенных юридическими лицами  (за исключением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государственных (муниципальных) образований) договоров технологического присоединения.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В случае заключения в рамках одного вида сетей инженерно-технологического обеспечения нескольких договоров технологического присоединения, они учитываются как один договор технологического присоединения.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  <w:p>
            <w:pPr>
              <w:ind w:firstLine="227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Фактическое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определяется на основе отчетной информации юридических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лиц, которым предоставляет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 субсидия  (инф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раструктурные проекты: «Создание объектов инженерной, энергетической и коммунальной инфраструктуры в целях обеспечения реализации инвестиционного проекта комплексной застройки «Жилой микрорайон Карьер Мочище» в п. Озерный Мочищенского сельсовета Новосибирс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кой области» (ООО «СД Карьер»); «Создание объектов инженерной, энергетической и коммунальной инфраструктуры в целях реализации жилищного строительства в п. Озерный Мочищенского сельсовета Новосибирской области» (ООО «СЗ «Антей»); «Создание объекта коммунал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ьной инфраструктуры  в целях реализации строительства многоквартирных жилых домов с помещениями общественного назначения по ул. Зорге в г. Новосибирске» (ООО «СЗ «Темпо»); «Создание объектов инженерной, энергетической и коммунальной инфраструктуры в целях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обеспечения реализации инвестиционного проекта жилищного строительства «Скандинавские кварталы» в Первомайском районе г. Новосибирска» (ООО «Строительные решения. Специализированный застройщик).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  <w:tc>
          <w:tcPr>
            <w:tcW w:w="29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Юридические лица, которым предос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тавляет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:lang w:eastAsia="ru-RU"/>
              </w:rPr>
              <w:t xml:space="preserve"> субсидия (ООО «СД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Карьер», ООО «СЗ «Антей»,ООО «СЗ «Темпо», ООО «Строительные решения.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:lang w:eastAsia="ru-RU"/>
              </w:rPr>
              <w:t xml:space="preserve">Специализированный застройщик»)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  <w:t xml:space="preserve">_________»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sectPr>
      <w:footnotePr/>
      <w:endnotePr/>
      <w:type w:val="nextPage"/>
      <w:pgSz w:w="16838" w:h="11906" w:orient="landscape"/>
      <w:pgMar w:top="1701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683"/>
    <w:link w:val="674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683"/>
    <w:link w:val="675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683"/>
    <w:link w:val="676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683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60">
    <w:name w:val="Heading 5 Char"/>
    <w:basedOn w:val="683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61">
    <w:name w:val="Heading 6 Char"/>
    <w:basedOn w:val="683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62">
    <w:name w:val="Heading 7 Char"/>
    <w:basedOn w:val="683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8 Char"/>
    <w:basedOn w:val="683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64">
    <w:name w:val="Heading 9 Char"/>
    <w:basedOn w:val="683"/>
    <w:link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65">
    <w:name w:val="Title Char"/>
    <w:basedOn w:val="683"/>
    <w:link w:val="695"/>
    <w:uiPriority w:val="10"/>
    <w:rPr>
      <w:sz w:val="48"/>
      <w:szCs w:val="48"/>
    </w:rPr>
  </w:style>
  <w:style w:type="character" w:styleId="666">
    <w:name w:val="Subtitle Char"/>
    <w:basedOn w:val="683"/>
    <w:link w:val="697"/>
    <w:uiPriority w:val="11"/>
    <w:rPr>
      <w:sz w:val="24"/>
      <w:szCs w:val="24"/>
    </w:rPr>
  </w:style>
  <w:style w:type="character" w:styleId="667">
    <w:name w:val="Quote Char"/>
    <w:link w:val="699"/>
    <w:uiPriority w:val="29"/>
    <w:rPr>
      <w:i/>
    </w:rPr>
  </w:style>
  <w:style w:type="character" w:styleId="668">
    <w:name w:val="Intense Quote Char"/>
    <w:link w:val="701"/>
    <w:uiPriority w:val="30"/>
    <w:rPr>
      <w:i/>
    </w:rPr>
  </w:style>
  <w:style w:type="character" w:styleId="669">
    <w:name w:val="Header Char"/>
    <w:basedOn w:val="683"/>
    <w:link w:val="703"/>
    <w:uiPriority w:val="99"/>
  </w:style>
  <w:style w:type="character" w:styleId="670">
    <w:name w:val="Caption Char"/>
    <w:basedOn w:val="707"/>
    <w:link w:val="705"/>
    <w:uiPriority w:val="99"/>
  </w:style>
  <w:style w:type="character" w:styleId="671">
    <w:name w:val="Footnote Text Char"/>
    <w:link w:val="836"/>
    <w:uiPriority w:val="99"/>
    <w:rPr>
      <w:sz w:val="18"/>
    </w:rPr>
  </w:style>
  <w:style w:type="character" w:styleId="672">
    <w:name w:val="Endnote Text Char"/>
    <w:link w:val="839"/>
    <w:uiPriority w:val="99"/>
    <w:rPr>
      <w:sz w:val="20"/>
    </w:rPr>
  </w:style>
  <w:style w:type="paragraph" w:styleId="673" w:default="1">
    <w:name w:val="Normal"/>
    <w:qFormat/>
  </w:style>
  <w:style w:type="paragraph" w:styleId="674">
    <w:name w:val="Heading 1"/>
    <w:basedOn w:val="673"/>
    <w:next w:val="673"/>
    <w:link w:val="68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5">
    <w:name w:val="Heading 2"/>
    <w:basedOn w:val="673"/>
    <w:next w:val="673"/>
    <w:link w:val="68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6">
    <w:name w:val="Heading 3"/>
    <w:basedOn w:val="673"/>
    <w:next w:val="673"/>
    <w:link w:val="68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7">
    <w:name w:val="Heading 4"/>
    <w:basedOn w:val="673"/>
    <w:next w:val="673"/>
    <w:link w:val="6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673"/>
    <w:next w:val="673"/>
    <w:link w:val="69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673"/>
    <w:next w:val="673"/>
    <w:link w:val="6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0">
    <w:name w:val="Heading 7"/>
    <w:basedOn w:val="673"/>
    <w:next w:val="673"/>
    <w:link w:val="69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1">
    <w:name w:val="Heading 8"/>
    <w:basedOn w:val="673"/>
    <w:next w:val="673"/>
    <w:link w:val="69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2">
    <w:name w:val="Heading 9"/>
    <w:basedOn w:val="673"/>
    <w:next w:val="673"/>
    <w:link w:val="69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link w:val="67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Заголовок 2 Знак"/>
    <w:link w:val="675"/>
    <w:uiPriority w:val="9"/>
    <w:rPr>
      <w:rFonts w:ascii="Arial" w:hAnsi="Arial" w:eastAsia="Arial" w:cs="Arial"/>
      <w:sz w:val="34"/>
    </w:rPr>
  </w:style>
  <w:style w:type="character" w:styleId="688" w:customStyle="1">
    <w:name w:val="Заголовок 3 Знак"/>
    <w:link w:val="676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Заголовок 4 Знак"/>
    <w:link w:val="677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Заголовок 5 Знак"/>
    <w:link w:val="678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Заголовок 6 Знак"/>
    <w:link w:val="679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Заголовок 7 Знак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Заголовок 8 Знак"/>
    <w:link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Заголовок 9 Знак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673"/>
    <w:next w:val="673"/>
    <w:link w:val="696"/>
    <w:uiPriority w:val="10"/>
    <w:qFormat/>
    <w:pPr>
      <w:contextualSpacing/>
      <w:spacing w:before="300"/>
    </w:pPr>
    <w:rPr>
      <w:sz w:val="48"/>
      <w:szCs w:val="48"/>
    </w:rPr>
  </w:style>
  <w:style w:type="character" w:styleId="696" w:customStyle="1">
    <w:name w:val="Заголовок Знак"/>
    <w:link w:val="695"/>
    <w:uiPriority w:val="10"/>
    <w:rPr>
      <w:sz w:val="48"/>
      <w:szCs w:val="48"/>
    </w:rPr>
  </w:style>
  <w:style w:type="paragraph" w:styleId="697">
    <w:name w:val="Subtitle"/>
    <w:basedOn w:val="673"/>
    <w:next w:val="673"/>
    <w:link w:val="698"/>
    <w:uiPriority w:val="11"/>
    <w:qFormat/>
    <w:pPr>
      <w:spacing w:before="200"/>
    </w:pPr>
    <w:rPr>
      <w:sz w:val="24"/>
      <w:szCs w:val="24"/>
    </w:rPr>
  </w:style>
  <w:style w:type="character" w:styleId="698" w:customStyle="1">
    <w:name w:val="Подзаголовок Знак"/>
    <w:link w:val="697"/>
    <w:uiPriority w:val="11"/>
    <w:rPr>
      <w:sz w:val="24"/>
      <w:szCs w:val="24"/>
    </w:rPr>
  </w:style>
  <w:style w:type="paragraph" w:styleId="699">
    <w:name w:val="Quote"/>
    <w:basedOn w:val="673"/>
    <w:next w:val="673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3"/>
    <w:next w:val="673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3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link w:val="703"/>
    <w:uiPriority w:val="99"/>
  </w:style>
  <w:style w:type="paragraph" w:styleId="705">
    <w:name w:val="Footer"/>
    <w:basedOn w:val="673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uiPriority w:val="99"/>
  </w:style>
  <w:style w:type="paragraph" w:styleId="707">
    <w:name w:val="Caption"/>
    <w:basedOn w:val="673"/>
    <w:next w:val="67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basedOn w:val="68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9" w:customStyle="1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3" w:customStyle="1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6" w:customStyle="1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Bordered &amp; Lined - Accent 2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8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4" w:customStyle="1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7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uiPriority w:val="99"/>
    <w:unhideWhenUsed/>
    <w:rPr>
      <w:vertAlign w:val="superscript"/>
    </w:rPr>
  </w:style>
  <w:style w:type="paragraph" w:styleId="839">
    <w:name w:val="endnote text"/>
    <w:basedOn w:val="67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uiPriority w:val="99"/>
    <w:semiHidden/>
    <w:unhideWhenUsed/>
    <w:rPr>
      <w:vertAlign w:val="superscript"/>
    </w:rPr>
  </w:style>
  <w:style w:type="paragraph" w:styleId="842">
    <w:name w:val="toc 1"/>
    <w:basedOn w:val="673"/>
    <w:next w:val="673"/>
    <w:uiPriority w:val="39"/>
    <w:unhideWhenUsed/>
    <w:pPr>
      <w:spacing w:after="57"/>
    </w:pPr>
  </w:style>
  <w:style w:type="paragraph" w:styleId="843">
    <w:name w:val="toc 2"/>
    <w:basedOn w:val="673"/>
    <w:next w:val="673"/>
    <w:uiPriority w:val="39"/>
    <w:unhideWhenUsed/>
    <w:pPr>
      <w:ind w:left="283"/>
      <w:spacing w:after="57"/>
    </w:pPr>
  </w:style>
  <w:style w:type="paragraph" w:styleId="844">
    <w:name w:val="toc 3"/>
    <w:basedOn w:val="673"/>
    <w:next w:val="673"/>
    <w:uiPriority w:val="39"/>
    <w:unhideWhenUsed/>
    <w:pPr>
      <w:ind w:left="567"/>
      <w:spacing w:after="57"/>
    </w:pPr>
  </w:style>
  <w:style w:type="paragraph" w:styleId="845">
    <w:name w:val="toc 4"/>
    <w:basedOn w:val="673"/>
    <w:next w:val="673"/>
    <w:uiPriority w:val="39"/>
    <w:unhideWhenUsed/>
    <w:pPr>
      <w:ind w:left="850"/>
      <w:spacing w:after="57"/>
    </w:pPr>
  </w:style>
  <w:style w:type="paragraph" w:styleId="846">
    <w:name w:val="toc 5"/>
    <w:basedOn w:val="673"/>
    <w:next w:val="673"/>
    <w:uiPriority w:val="39"/>
    <w:unhideWhenUsed/>
    <w:pPr>
      <w:ind w:left="1134"/>
      <w:spacing w:after="57"/>
    </w:pPr>
  </w:style>
  <w:style w:type="paragraph" w:styleId="847">
    <w:name w:val="toc 6"/>
    <w:basedOn w:val="673"/>
    <w:next w:val="673"/>
    <w:uiPriority w:val="39"/>
    <w:unhideWhenUsed/>
    <w:pPr>
      <w:ind w:left="1417"/>
      <w:spacing w:after="57"/>
    </w:pPr>
  </w:style>
  <w:style w:type="paragraph" w:styleId="848">
    <w:name w:val="toc 7"/>
    <w:basedOn w:val="673"/>
    <w:next w:val="673"/>
    <w:uiPriority w:val="39"/>
    <w:unhideWhenUsed/>
    <w:pPr>
      <w:ind w:left="1701"/>
      <w:spacing w:after="57"/>
    </w:pPr>
  </w:style>
  <w:style w:type="paragraph" w:styleId="849">
    <w:name w:val="toc 8"/>
    <w:basedOn w:val="673"/>
    <w:next w:val="673"/>
    <w:uiPriority w:val="39"/>
    <w:unhideWhenUsed/>
    <w:pPr>
      <w:ind w:left="1984"/>
      <w:spacing w:after="57"/>
    </w:pPr>
  </w:style>
  <w:style w:type="paragraph" w:styleId="850">
    <w:name w:val="toc 9"/>
    <w:basedOn w:val="673"/>
    <w:next w:val="673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3"/>
    <w:next w:val="673"/>
    <w:uiPriority w:val="99"/>
    <w:unhideWhenUsed/>
    <w:pPr>
      <w:spacing w:after="0"/>
    </w:pPr>
  </w:style>
  <w:style w:type="paragraph" w:styleId="853">
    <w:name w:val="No Spacing"/>
    <w:basedOn w:val="673"/>
    <w:uiPriority w:val="1"/>
    <w:qFormat/>
    <w:pPr>
      <w:spacing w:after="0" w:line="240" w:lineRule="auto"/>
    </w:pPr>
  </w:style>
  <w:style w:type="paragraph" w:styleId="854">
    <w:name w:val="List Paragraph"/>
    <w:basedOn w:val="673"/>
    <w:uiPriority w:val="34"/>
    <w:qFormat/>
    <w:pPr>
      <w:contextualSpacing/>
      <w:ind w:left="720"/>
    </w:pPr>
  </w:style>
  <w:style w:type="paragraph" w:styleId="855" w:customStyle="1">
    <w:name w:val="Обычный1"/>
    <w:qFormat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Агафонова Наталья Анатольевна</dc:creator>
  <cp:revision>22</cp:revision>
  <dcterms:created xsi:type="dcterms:W3CDTF">2024-02-13T10:04:00Z</dcterms:created>
  <dcterms:modified xsi:type="dcterms:W3CDTF">2024-12-28T05:52:16Z</dcterms:modified>
</cp:coreProperties>
</file>