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38" w:rsidRDefault="00266F6D">
      <w:r>
        <w:t>Уполномоченными банками в рамках реализации постановления определены 17 кредитных организаций: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ВЭБ.РФ;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«Сбербанк»;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АО «Газпромбанк»;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АО «Альфа-Банк»;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«ВТБ»;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</w:t>
      </w:r>
      <w:proofErr w:type="spellStart"/>
      <w:r>
        <w:t>Совкомбанк</w:t>
      </w:r>
      <w:proofErr w:type="spellEnd"/>
      <w:r>
        <w:t>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АКБ «Абсолют 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Банк «Санкт-Петербург»;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АО «Райффайзенбанк»;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«Промсвязьбанк»;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Банк «ФК Открытие»;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«Росбанк»;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«Российский национальный коммерческий 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«Московский кредитный банк»;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ПАО «АК БАРС» банк;</w:t>
      </w:r>
    </w:p>
    <w:p w:rsidR="00266F6D" w:rsidRDefault="00266F6D" w:rsidP="00266F6D">
      <w:pPr>
        <w:pStyle w:val="a3"/>
        <w:numPr>
          <w:ilvl w:val="0"/>
          <w:numId w:val="1"/>
        </w:numPr>
      </w:pPr>
      <w:r>
        <w:t>АО «Российский банк поддержки МСП»;</w:t>
      </w:r>
    </w:p>
    <w:p w:rsidR="00266F6D" w:rsidRPr="00266F6D" w:rsidRDefault="00266F6D" w:rsidP="00266F6D">
      <w:pPr>
        <w:pStyle w:val="a3"/>
        <w:numPr>
          <w:ilvl w:val="0"/>
          <w:numId w:val="1"/>
        </w:numPr>
      </w:pPr>
      <w:r>
        <w:t>ПАО КБ «Центр-Инвест».</w:t>
      </w:r>
      <w:bookmarkStart w:id="0" w:name="_GoBack"/>
      <w:bookmarkEnd w:id="0"/>
    </w:p>
    <w:sectPr w:rsidR="00266F6D" w:rsidRPr="0026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C0A1B"/>
    <w:multiLevelType w:val="hybridMultilevel"/>
    <w:tmpl w:val="0754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6D"/>
    <w:rsid w:val="00266F6D"/>
    <w:rsid w:val="002F03C1"/>
    <w:rsid w:val="00C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D51A"/>
  <w15:chartTrackingRefBased/>
  <w15:docId w15:val="{E28CDC92-287F-4FBA-8E3B-B9E6748C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Борзенко Татьяна Владимировна</dc:creator>
  <cp:keywords/>
  <dc:description/>
  <cp:lastModifiedBy>Борзенко Татьяна Владимировна</cp:lastModifiedBy>
  <cp:revision>1</cp:revision>
  <dcterms:created xsi:type="dcterms:W3CDTF">2021-08-25T08:25:00Z</dcterms:created>
  <dcterms:modified xsi:type="dcterms:W3CDTF">2021-08-25T08:33:00Z</dcterms:modified>
</cp:coreProperties>
</file>