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изменений в постановление Правительства Новосибирской области от 02.10.2014 № 398-п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Правительство Новосибирской области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 о с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 а н о в л я е 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Внести в постановление Правительства Новосибирской области от 02.10.2014 № 398-п «О министерстве строительства Новосибирской области» следующие изменения: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8" w:tooltip="https://login.consultant.ru/link/?req=doc&amp;base=RLAW049&amp;n=81339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В Положении о министерстве строительства Новосибирской области: 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подпункте 13 пункта 8 слова «,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том числе организует и проводит Всероссийскую конференцию «Развитие городских агломераций России» исключить;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 Подпункты 8, 8.1 пункта 9 признать утратившими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 В пункте 11: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подпункт 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дополнить абзацем «г.1»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«г.1)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установлению порядка составления протоколов об административных правонарушениях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за нарушение сроков направления документов, материалов или сведений о них для размещения в государственных информационных системах обеспечения градостроительной деятельности;»;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подпункт 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дополнить абзацем «г.1»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«г.1)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перече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нь должностных лиц, имеющих право составлять протоколы об административных правонарушениях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 нарушение сроков направления документов, материалов или сведений о них для размещения в государственных информационных системах обеспечения градостроительной деятельности;»;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4. В пункте 12: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1)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дополнить подпунктом 4.4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«4.4)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координацию деятельности по обеспечению создания, эксплуатации, в том числе разви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тия, и ведения государственной информационной системы обеспечения градостроительной деятельности Новосибирской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деятельности;»;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2) подпункт 5.1 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«5.1) права акционера от имени Новосибирской области в акционерном обществе «Агентство развития жилищного строительства Новосибирской области» и акционерном обществе микрокредитная компания «Новосибирское областное агентство ипотечного кредитования;».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/>
      <w:r/>
    </w:p>
    <w:p>
      <w:pPr>
        <w:contextualSpacing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/>
      <w:hyperlink r:id="rId9" w:tooltip="https://login.consultant.ru/link/?req=doc&amp;base=RLAW049&amp;n=81339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Губернатор Новосибирской области </w:t>
        </w:r>
        <w:r>
          <w:rPr>
            <w:rFonts w:ascii="Times New Roman" w:hAnsi="Times New Roman" w:eastAsia="Times New Roman" w:cs="Times New Roman"/>
            <w:sz w:val="28"/>
            <w:szCs w:val="28"/>
          </w:rPr>
          <w:tab/>
        </w:r>
        <w:r>
          <w:rPr>
            <w:rFonts w:ascii="Times New Roman" w:hAnsi="Times New Roman" w:eastAsia="Times New Roman" w:cs="Times New Roman"/>
            <w:sz w:val="28"/>
            <w:szCs w:val="28"/>
          </w:rPr>
          <w:tab/>
          <w:t xml:space="preserve">          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               А.А. Травников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Д.Н. Богомолов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jc w:val="both"/>
        <w:spacing w:line="283" w:lineRule="exact"/>
        <w:rPr>
          <w:rFonts w:ascii="Times New Roman" w:hAnsi="Times New Roman" w:cs="Times New Roman"/>
          <w:sz w:val="24"/>
          <w:szCs w:val="24"/>
        </w:rPr>
      </w:pPr>
      <w:r/>
      <w:hyperlink r:id="rId10" w:tooltip="https://login.consultant.ru/link/?req=doc&amp;base=RLAW049&amp;n=81339" w:history="1">
        <w:r>
          <w:rPr>
            <w:rFonts w:ascii="Times New Roman" w:hAnsi="Times New Roman" w:eastAsia="Times New Roman" w:cs="Times New Roman"/>
            <w:sz w:val="20"/>
            <w:szCs w:val="20"/>
          </w:rPr>
          <w:t xml:space="preserve">228 64 00</w:t>
        </w:r>
      </w:hyperlink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RLAW049&amp;n=81339" TargetMode="External"/><Relationship Id="rId9" Type="http://schemas.openxmlformats.org/officeDocument/2006/relationships/hyperlink" Target="https://login.consultant.ru/link/?req=doc&amp;base=RLAW049&amp;n=81339" TargetMode="External"/><Relationship Id="rId10" Type="http://schemas.openxmlformats.org/officeDocument/2006/relationships/hyperlink" Target="https://login.consultant.ru/link/?req=doc&amp;base=RLAW049&amp;n=8133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2026-06-16T05:37:27Z</dcterms:modified>
</cp:coreProperties>
</file>