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widowControl w:val="off"/>
        <w:tabs>
          <w:tab w:val="left" w:pos="59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№ 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Основные виды разрешенного использования земельных участков и объектов капитального строительства, которые могут быть выбраны при реализации решения о комплексном развитии незастроенной территории </w:t>
      </w:r>
      <w:r>
        <w:rPr>
          <w:b/>
          <w:bCs/>
          <w:sz w:val="28"/>
          <w:szCs w:val="28"/>
        </w:rPr>
        <w:t xml:space="preserve">в поселке Каинская Заимка </w:t>
      </w:r>
      <w:r>
        <w:rPr>
          <w:b/>
          <w:bCs/>
          <w:sz w:val="28"/>
          <w:szCs w:val="28"/>
        </w:rPr>
        <w:t xml:space="preserve">Барышевского</w:t>
      </w:r>
      <w:r>
        <w:rPr>
          <w:b/>
          <w:bCs/>
          <w:sz w:val="28"/>
          <w:szCs w:val="28"/>
        </w:rPr>
        <w:t xml:space="preserve"> сельсовета Новосибирского района Новосибирской области</w:t>
      </w:r>
      <w:r>
        <w:rPr>
          <w:b/>
          <w:sz w:val="28"/>
          <w:szCs w:val="28"/>
          <w:shd w:val="clear" w:color="auto" w:fill="ffffff"/>
        </w:rPr>
        <w:t xml:space="preserve">, 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а также предельные параметры разрешенного строительства,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реконструкции объектов капитального строительства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widowControl w:val="off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 границах незастроенной территории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both"/>
        <w:widowControl w:val="off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 Основные виды разрешенного использования земельных участков и объектов капитального строительства: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10"/>
          <w:szCs w:val="10"/>
          <w:shd w:val="clear" w:color="auto" w:fill="ffffff"/>
        </w:rPr>
      </w:pPr>
      <w:r>
        <w:rPr>
          <w:sz w:val="10"/>
          <w:szCs w:val="10"/>
          <w:shd w:val="clear" w:color="auto" w:fill="ffffff"/>
        </w:rPr>
      </w:r>
      <w:r>
        <w:rPr>
          <w:sz w:val="10"/>
          <w:szCs w:val="10"/>
          <w:shd w:val="clear" w:color="auto" w:fill="ffffff"/>
        </w:rPr>
      </w:r>
      <w:r>
        <w:rPr>
          <w:sz w:val="10"/>
          <w:szCs w:val="10"/>
          <w:shd w:val="clear" w:color="auto" w:fill="ffffff"/>
        </w:rPr>
      </w:r>
    </w:p>
    <w:tbl>
      <w:tblPr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3859"/>
        <w:gridCol w:w="5178"/>
      </w:tblGrid>
      <w:tr>
        <w:tblPrEx/>
        <w:trPr>
          <w:jc w:val="center"/>
          <w:trHeight w:val="4243"/>
        </w:trPr>
        <w:tc>
          <w:tcPr>
            <w:tcW w:w="81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разрешенного использования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указанием кода классификатора видов разрешенного использования земельных участков, утвержденного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Росреестра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 10.11.2020 № П/0412 «Об утверждении классификатора видов разрешенного использования земельных участков»)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вида разрешенного использования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38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0"/>
        </w:trPr>
        <w:tc>
          <w:tcPr>
            <w:tcW w:w="81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926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индивидуального жилищного строительства (2.1)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жилого дома (отдельно стоящего здания количеством надземных этажей не более чем три, высотой не более двадцати метро</w:t>
            </w:r>
            <w:r>
              <w:rPr>
                <w:sz w:val="28"/>
                <w:szCs w:val="28"/>
              </w:rPr>
              <w:t xml:space="preserve">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выращивание сельскохозяйственных культур;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гаражей для собственных нужд и хозяйственных построек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Малоэтажная многоквартирная жилая застройка (2.1.1)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малоэтажных многоквартирных домов (многоквартирные дома высотой до 4 этажей, включая мансардный);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обустройство спортивных и детских площадок, площадок для отдыха;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объе</w:t>
            </w:r>
            <w:r>
              <w:rPr>
                <w:sz w:val="28"/>
                <w:szCs w:val="28"/>
              </w:rPr>
              <w:t xml:space="preserve">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Блокированная жилая застройка (2.3)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</w:t>
            </w:r>
            <w:r>
              <w:rPr>
                <w:sz w:val="28"/>
                <w:szCs w:val="28"/>
              </w:rPr>
              <w:t xml:space="preserve">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Среднеэтажная</w:t>
            </w:r>
            <w:r>
              <w:rPr>
                <w:sz w:val="28"/>
                <w:szCs w:val="28"/>
              </w:rPr>
              <w:t xml:space="preserve"> жилая застройка (2.5)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многоквартирных домов этажностью не выше восьми этажей;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и озеленение;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подземных гаражей и автостоянок;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обустройство спортивных и детских площадок, площадок для отдыха;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Многоэтажная жилая застройка (высотная застройка) (2.6)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многоквартирных домов этажностью девять этажей и выше;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благоустройство и озеленение придомовых территорий;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обустройство спортивных и детских площадок, хозяйственных площадок и площадок для отдыха;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подземных гаражей и автостоянок;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</w:t>
            </w:r>
            <w:r>
              <w:rPr>
                <w:sz w:val="28"/>
                <w:szCs w:val="28"/>
              </w:rPr>
              <w:t xml:space="preserve">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Хранение автотранспорта (2.7.1)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отдельно стоящих </w:t>
            </w:r>
            <w:r>
              <w:rPr>
                <w:sz w:val="28"/>
                <w:szCs w:val="28"/>
              </w:rPr>
              <w:br/>
              <w:t xml:space="preserve">и пристроенных гаражей, в том числе подземных, предназначенных для хранения автотранспорта, </w:t>
            </w:r>
            <w:r>
              <w:rPr>
                <w:sz w:val="28"/>
                <w:szCs w:val="28"/>
              </w:rPr>
              <w:br/>
              <w:t xml:space="preserve">в том числе с разделением на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-места, за исключением гаражей, размещение которых предусмотрено содержанием видов разрешенного использования «размещение гаражей </w:t>
            </w:r>
            <w:r>
              <w:rPr>
                <w:sz w:val="28"/>
                <w:szCs w:val="28"/>
              </w:rPr>
              <w:br/>
              <w:t xml:space="preserve">для собственных нужд (2.7.2)», «служебные гаражи (4.9)»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коммунальных услуг </w:t>
            </w:r>
            <w:hyperlink r:id="rId12" w:tooltip="consultantplus://offline/ref=95C4BFA68773DF14F219046D92EC41E676DE16F2429155CFF9B1907BE1586FE4B707A8CA37C667D631E2B818A390560D0C19468A6F1D9592MFe6J" w:history="1">
              <w:r>
                <w:rPr>
                  <w:sz w:val="28"/>
                  <w:szCs w:val="28"/>
                </w:rPr>
                <w:t xml:space="preserve">(3.1.1)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зданий и </w:t>
            </w:r>
            <w:r>
              <w:rPr>
                <w:sz w:val="28"/>
                <w:szCs w:val="28"/>
              </w:rPr>
              <w:t xml:space="preserve">сооружений,  обеспечивающих</w:t>
            </w:r>
            <w:r>
              <w:rPr>
                <w:sz w:val="28"/>
                <w:szCs w:val="28"/>
              </w:rPr>
              <w:t xml:space="preserve"> поставку воды, тепла, электричества, газа, отвод канализационных стоков, очистку </w:t>
            </w:r>
            <w:r>
              <w:rPr>
                <w:sz w:val="28"/>
                <w:szCs w:val="28"/>
              </w:rPr>
              <w:br/>
              <w:t xml:space="preserve">и уборку объектов недвижимости (котельных, водозаборов, очистных сооружений, насосных станций, </w:t>
            </w:r>
            <w:r>
              <w:rPr>
                <w:sz w:val="28"/>
                <w:szCs w:val="28"/>
              </w:rPr>
              <w:t xml:space="preserve">водопроводов, линий электропередач, трансформаторных подстанций, газопроводов, линий связи, телефонных станций, канализаций, стоянок, гаражей </w:t>
            </w:r>
            <w:r>
              <w:rPr>
                <w:sz w:val="28"/>
                <w:szCs w:val="28"/>
              </w:rPr>
              <w:br/>
              <w:t xml:space="preserve">и мастерских для обслуживания уборочной и аварийной техники, сооружений, необходимых для сбора </w:t>
            </w:r>
            <w:r>
              <w:rPr>
                <w:sz w:val="28"/>
                <w:szCs w:val="28"/>
              </w:rPr>
              <w:br/>
              <w:t xml:space="preserve">и плавки снега)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зданий, предназначенных для приема физических и юридических лиц в связи с предоставлением им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социальной помощи населению (3.2.2)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зданий, предназначенных для служб психологической и бесплатной юридической помощи, социальных, пенсионных и иных слу</w:t>
            </w:r>
            <w:r>
              <w:rPr>
                <w:sz w:val="28"/>
                <w:szCs w:val="28"/>
              </w:rPr>
              <w:t xml:space="preserve">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некоммерческих фондов, благотворительных организаций, клубов по интересам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связи (3.2.3)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зданий, предназначенных </w:t>
            </w:r>
            <w:r>
              <w:rPr>
                <w:sz w:val="28"/>
                <w:szCs w:val="28"/>
              </w:rPr>
              <w:br/>
              <w:t xml:space="preserve">для размещения пунктов оказания услуг почтовой, телеграфной, междугородней </w:t>
            </w:r>
            <w:r>
              <w:rPr>
                <w:sz w:val="28"/>
                <w:szCs w:val="28"/>
              </w:rPr>
              <w:br/>
              <w:t xml:space="preserve">и международной телефонной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Бытовое обслуживание </w:t>
            </w:r>
            <w:hyperlink r:id="rId13" w:tooltip="consultantplus://offline/ref=95C4BFA68773DF14F219046D92EC41E676DE16F2429155CFF9B1907BE1586FE4B707A8CA37C667D430E2B818A390560D0C19468A6F1D9592MFe6J" w:history="1">
              <w:r>
                <w:rPr>
                  <w:sz w:val="28"/>
                  <w:szCs w:val="28"/>
                </w:rPr>
                <w:t xml:space="preserve">(3.3)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Здравоохранение (3.4)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объектов капитального строительства, предназначенных для оказания гражданам медицинской помощи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Амбулаторно-поликлиническое обслуживание (3.4.1)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предназначенных для оказания гражданам амбулаторно-поликлинической медицинской помощи </w:t>
            </w:r>
            <w:r>
              <w:rPr>
                <w:sz w:val="28"/>
                <w:szCs w:val="28"/>
              </w:rPr>
              <w:t xml:space="preserve">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Стационарное медицинское обслуживание (3.4.2)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</w:t>
            </w:r>
            <w:r>
              <w:rPr>
                <w:sz w:val="28"/>
                <w:szCs w:val="28"/>
              </w:rPr>
              <w:t xml:space="preserve">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станций скорой помощи;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размещение площадок санитарной авиации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Дошкольное, начальное и среднее общее образование (3.5.1)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</w:t>
            </w:r>
            <w:r>
              <w:rPr>
                <w:color w:val="000000"/>
                <w:sz w:val="28"/>
                <w:szCs w:val="28"/>
              </w:rPr>
              <w:t xml:space="preserve">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r/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культурно-досуговой деятельности (3.6.1)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Парки культуры и отдыха (3.6.2)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парков культуры и отдыха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управление (3.8.1)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</w:t>
            </w:r>
            <w:r>
              <w:rPr>
                <w:color w:val="000000"/>
                <w:sz w:val="28"/>
                <w:szCs w:val="28"/>
              </w:rPr>
              <w:t xml:space="preserve">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</w:t>
            </w:r>
            <w:r>
              <w:rPr>
                <w:color w:val="000000"/>
                <w:sz w:val="28"/>
                <w:szCs w:val="28"/>
              </w:rPr>
              <w:t xml:space="preserve">муниципальные услуги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научной деятельности (3.9)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зданий и сооружений для обеспечения научной деятельности.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научных исследований (3.9.2)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зданий и соор</w:t>
            </w:r>
            <w:r>
              <w:rPr>
                <w:color w:val="000000"/>
                <w:sz w:val="28"/>
                <w:szCs w:val="28"/>
              </w:rPr>
              <w:t xml:space="preserve">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научных испытаний (3.9.3)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зданий и сооружений для проведения изысканий, испытаний опытных промышле</w:t>
            </w:r>
            <w:r>
              <w:rPr>
                <w:color w:val="000000"/>
                <w:sz w:val="28"/>
                <w:szCs w:val="28"/>
              </w:rPr>
              <w:t xml:space="preserve">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Деловое управление (4.1)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азмещение объектов капитального строительства с целью: размещения объектов управленческой деятельности, не связанной с государственным</w:t>
            </w:r>
            <w:r>
              <w:rPr>
                <w:color w:val="000000"/>
                <w:sz w:val="28"/>
                <w:szCs w:val="28"/>
              </w:rPr>
              <w:t xml:space="preserve">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Рынки (4.3)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сооружений, предназнач</w:t>
            </w:r>
            <w:r>
              <w:rPr>
                <w:sz w:val="28"/>
                <w:szCs w:val="28"/>
              </w:rPr>
              <w:t xml:space="preserve">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Магазины (4.4)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предназначенных для </w:t>
            </w:r>
            <w:r>
              <w:rPr>
                <w:sz w:val="28"/>
                <w:szCs w:val="28"/>
              </w:rPr>
              <w:t xml:space="preserve">продажи товаров, торговая площадь которых составляет до 5000 кв. м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Банковская и страховая деятельность (4.5)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Общественное питание (4.6)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Развлекательные мероприятия (4.8.1)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зданий и сооружений, предназначенных для организации р</w:t>
            </w:r>
            <w:r>
              <w:rPr>
                <w:sz w:val="28"/>
                <w:szCs w:val="28"/>
              </w:rPr>
              <w:t xml:space="preserve">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Служебные гаражи (4.9)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общественное использование объектов капитального строительства (3.0)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предпринимательство (4.0)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, а также для стоянки и хранения транспортных средств общего пользования, в том числе в депо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дорожного сервиса (4.9.1)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зданий и сооружений дорожного сервиса.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Стоянка транспортных средств (4.9.2)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стоянок (парковок) легковых автомобилей и других </w:t>
            </w:r>
            <w:r>
              <w:rPr>
                <w:sz w:val="28"/>
                <w:szCs w:val="28"/>
              </w:rPr>
              <w:t xml:space="preserve">мототранспортных</w:t>
            </w:r>
            <w:r>
              <w:rPr>
                <w:sz w:val="28"/>
                <w:szCs w:val="28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Выставочно</w:t>
            </w:r>
            <w:r>
              <w:rPr>
                <w:sz w:val="28"/>
                <w:szCs w:val="28"/>
              </w:rPr>
              <w:t xml:space="preserve">-ярмарочная деятельность (4.10)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капитального строительства, сооружений, предназначенных для осуществления </w:t>
            </w:r>
            <w:r>
              <w:rPr>
                <w:sz w:val="28"/>
                <w:szCs w:val="28"/>
              </w:rPr>
              <w:t xml:space="preserve">выставочно</w:t>
            </w:r>
            <w:r>
              <w:rPr>
                <w:sz w:val="28"/>
                <w:szCs w:val="28"/>
              </w:rPr>
              <w:t xml:space="preserve">-ярмарочной и </w:t>
            </w:r>
            <w:r>
              <w:rPr>
                <w:sz w:val="28"/>
                <w:szCs w:val="28"/>
              </w:rPr>
              <w:t xml:space="preserve">конгрессной</w:t>
            </w:r>
            <w:r>
              <w:rPr>
                <w:sz w:val="28"/>
                <w:szCs w:val="28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спортивно-зрелищных мероприятий (5.1.1)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занятий спортом в помещениях (5.1.2)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pStyle w:val="736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спортивных клубов, спортивных залов, бассейнов, физкультурно-оздоровительных комплексов в зданиях и сооружениях</w:t>
            </w:r>
            <w:r/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Площадки для занятий спортом (5.1.3)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Оборудованные площадки для занятий спортом (5.1.4)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Склад (6.9)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</w:t>
            </w:r>
            <w:r>
              <w:rPr>
                <w:sz w:val="28"/>
                <w:szCs w:val="28"/>
              </w:rPr>
              <w:t xml:space="preserve">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Научно-производственная деятельность (6.12)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технологических, промышленных, агропромышленных парков, бизнес-инкубаторов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(территории) общего пользования (12.0)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общего 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Улично-дорожная сеть (12.0.1)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r>
              <w:rPr>
                <w:sz w:val="28"/>
                <w:szCs w:val="28"/>
              </w:rPr>
              <w:t xml:space="preserve">велотранспортной</w:t>
            </w:r>
            <w:r>
              <w:rPr>
                <w:sz w:val="28"/>
                <w:szCs w:val="28"/>
              </w:rPr>
              <w:t xml:space="preserve"> и инженерной инфраструктуры;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придорожных стоянок (парковок) транспортных средств в границах городских улиц и дорог, </w:t>
            </w:r>
            <w:r>
              <w:rPr>
                <w:sz w:val="28"/>
                <w:szCs w:val="28"/>
              </w:rPr>
              <w:t xml:space="preserve">за исключением предусмотренных видами разрешенного использования «хранение автотранспорта (2.7.1)», «служебные гаражи (4.9)», «стоянки транспорта общего пользования (7.2.3)», а также некапитальных сооружений, предназначенных для охраны транспортных средств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5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 (12.0.2)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7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декоративных, технических, планировочных, конструктивных устройств, эле</w:t>
            </w:r>
            <w:r>
              <w:rPr>
                <w:sz w:val="28"/>
                <w:szCs w:val="28"/>
              </w:rPr>
              <w:t xml:space="preserve">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 Предельные параметры разрешенного строительства, реконструкции объектов капитального строительства в границах территории: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widowControl w:val="off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58"/>
        <w:gridCol w:w="5528"/>
        <w:gridCol w:w="3370"/>
      </w:tblGrid>
      <w:tr>
        <w:tblPrEx/>
        <w:trPr>
          <w:jc w:val="center"/>
          <w:trHeight w:val="227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pageBreakBefore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редельное максимальное количество надземных этажей зданий, строений, сооружений</w:t>
            </w:r>
            <w:r>
              <w:rPr>
                <w:sz w:val="28"/>
                <w:szCs w:val="28"/>
              </w:rPr>
              <w:t xml:space="preserve">, планируемых к строительству в рамках комплексного развития территории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  <w:t xml:space="preserve"> этаж</w:t>
            </w:r>
            <w:r>
              <w:rPr>
                <w:sz w:val="28"/>
                <w:szCs w:val="28"/>
              </w:rPr>
              <w:t xml:space="preserve">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36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аксимальный коэффициент плотности </w:t>
            </w:r>
            <w:r>
              <w:rPr>
                <w:sz w:val="28"/>
                <w:szCs w:val="28"/>
              </w:rPr>
              <w:t xml:space="preserve">жилой </w:t>
            </w:r>
            <w:r>
              <w:rPr>
                <w:sz w:val="28"/>
                <w:szCs w:val="28"/>
              </w:rPr>
              <w:t xml:space="preserve">застройки </w:t>
            </w:r>
            <w:r>
              <w:rPr>
                <w:sz w:val="28"/>
                <w:szCs w:val="28"/>
              </w:rPr>
              <w:t xml:space="preserve">в границах </w:t>
            </w:r>
            <w:r>
              <w:rPr>
                <w:sz w:val="28"/>
                <w:szCs w:val="28"/>
              </w:rPr>
              <w:t xml:space="preserve">незастроенной </w:t>
            </w:r>
            <w:r>
              <w:rPr>
                <w:sz w:val="28"/>
                <w:szCs w:val="28"/>
              </w:rPr>
              <w:t xml:space="preserve">территории, подлежащей комплексному развитию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Предельное минимальное количество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 для стоянок индивидуальных транспортных средств: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жилых зон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расчетного населения в местах для постоянного хранения индивидуального автомобильного транспорта составляет 270 автомобилей на 1000 человек расчетного населения, но не менее 0,5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-места на 1 квартиру.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обеспеченности расчетного населения местами для постоянного хранения индивидуального автомобильного транспорта: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границах земельного участка для многоквартирной жилой застройки - не менее 60%;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границах земельного участка или в дальности пешеходной доступности не более 1000 м - до 40%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объектов нежилого назначения в границах жилых и общественно-деловых зон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оммунальное обслуживание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 на 60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ытовое обслуживание: мастерские мелкого ремонта, ателье, бани, парикмахерские, прачечные, похоронные бюро, салоны красоты и т.д.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 на 60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дравоохранение: поликлиники, фельдшерско-акушерские пункты, больницы, амбулатории, родильные дома, центры матери и ребенка, диагностические центры, перинатальные центры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расстоянии не более 150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на 100 посещений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бразование и просвещение: дошкольные образовательные организации, общеобразовательные организации, профессиональные технические училища, колледжи, художественные школы и училища, институты, университеты и </w:t>
            </w:r>
            <w:r>
              <w:rPr>
                <w:sz w:val="28"/>
                <w:szCs w:val="28"/>
              </w:rPr>
              <w:t xml:space="preserve">т.д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на расстоянии не более 150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100 обучающихся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ультурное развитие: музеи, выставочные залы, художественные галереи, дома культуры, библиотеки, кинотеатры и кинозалы, цирки, океанариумы и т.д.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мест или единовременных посетителей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бщественное управление: учреждения, подведомственные областным исполнительным органам Новосибирской области, органов местного самоуправления, суды и т.д.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200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еловое управление: объекты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 на 60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бъекты торговли площадью до 5000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</w:t>
            </w:r>
            <w:r>
              <w:rPr>
                <w:sz w:val="28"/>
                <w:szCs w:val="28"/>
              </w:rPr>
              <w:t xml:space="preserve"> до 400 кв. м - 80 кв. м общей площади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от 401 до 1000 кв. м - 80 кв. м общей площади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от 1001 кв. м до 5000 кв. м - 100 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бщественное питание: рестораны, кафе, столовые, закусочные, бары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.2.10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изкультурно-оздоровительные комплексы: тренажерные залы, фитнес-клубы, спортивные и тренажерные залы и т.д.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7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кв. м общей площади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077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69721963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9">
    <w:name w:val="Heading 1"/>
    <w:basedOn w:val="708"/>
    <w:next w:val="708"/>
    <w:link w:val="89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10">
    <w:name w:val="Heading 2"/>
    <w:basedOn w:val="708"/>
    <w:next w:val="708"/>
    <w:link w:val="89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1">
    <w:name w:val="Heading 3"/>
    <w:basedOn w:val="708"/>
    <w:next w:val="708"/>
    <w:link w:val="89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12">
    <w:name w:val="Heading 4"/>
    <w:basedOn w:val="708"/>
    <w:next w:val="708"/>
    <w:link w:val="89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3">
    <w:name w:val="Heading 5"/>
    <w:basedOn w:val="708"/>
    <w:next w:val="708"/>
    <w:link w:val="89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4">
    <w:name w:val="Heading 6"/>
    <w:basedOn w:val="708"/>
    <w:next w:val="708"/>
    <w:link w:val="89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5">
    <w:name w:val="Heading 7"/>
    <w:basedOn w:val="708"/>
    <w:next w:val="708"/>
    <w:link w:val="89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6">
    <w:name w:val="Heading 8"/>
    <w:basedOn w:val="708"/>
    <w:next w:val="708"/>
    <w:link w:val="89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7">
    <w:name w:val="Heading 9"/>
    <w:basedOn w:val="708"/>
    <w:next w:val="708"/>
    <w:link w:val="89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character" w:styleId="721" w:customStyle="1">
    <w:name w:val="Title Char"/>
    <w:basedOn w:val="718"/>
    <w:uiPriority w:val="10"/>
    <w:rPr>
      <w:sz w:val="48"/>
      <w:szCs w:val="48"/>
    </w:rPr>
  </w:style>
  <w:style w:type="character" w:styleId="722" w:customStyle="1">
    <w:name w:val="Subtitle Char"/>
    <w:basedOn w:val="718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Heading 1 Char"/>
    <w:basedOn w:val="718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18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18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4 Char"/>
    <w:basedOn w:val="718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Heading 5 Char"/>
    <w:basedOn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Heading 6 Char"/>
    <w:basedOn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7 Char"/>
    <w:basedOn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Heading 8 Char"/>
    <w:basedOn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Heading 9 Char"/>
    <w:basedOn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after="0" w:line="240" w:lineRule="auto"/>
    </w:pPr>
  </w:style>
  <w:style w:type="paragraph" w:styleId="737">
    <w:name w:val="Title"/>
    <w:basedOn w:val="708"/>
    <w:next w:val="70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basedOn w:val="718"/>
    <w:link w:val="737"/>
    <w:uiPriority w:val="10"/>
    <w:rPr>
      <w:sz w:val="48"/>
      <w:szCs w:val="48"/>
    </w:rPr>
  </w:style>
  <w:style w:type="paragraph" w:styleId="739">
    <w:name w:val="Subtitle"/>
    <w:basedOn w:val="708"/>
    <w:next w:val="70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basedOn w:val="718"/>
    <w:link w:val="739"/>
    <w:uiPriority w:val="11"/>
    <w:rPr>
      <w:sz w:val="24"/>
      <w:szCs w:val="24"/>
    </w:rPr>
  </w:style>
  <w:style w:type="paragraph" w:styleId="741">
    <w:name w:val="Quote"/>
    <w:basedOn w:val="708"/>
    <w:next w:val="70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08"/>
    <w:next w:val="70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character" w:styleId="745" w:customStyle="1">
    <w:name w:val="Header Char"/>
    <w:basedOn w:val="718"/>
    <w:uiPriority w:val="99"/>
  </w:style>
  <w:style w:type="character" w:styleId="746" w:customStyle="1">
    <w:name w:val="Footer Char"/>
    <w:basedOn w:val="718"/>
    <w:uiPriority w:val="99"/>
  </w:style>
  <w:style w:type="paragraph" w:styleId="747">
    <w:name w:val="Caption"/>
    <w:basedOn w:val="708"/>
    <w:next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1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1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4">
    <w:name w:val="footnote text"/>
    <w:basedOn w:val="708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8"/>
    <w:uiPriority w:val="99"/>
    <w:unhideWhenUsed/>
    <w:rPr>
      <w:vertAlign w:val="superscript"/>
    </w:rPr>
  </w:style>
  <w:style w:type="paragraph" w:styleId="877">
    <w:name w:val="endnote text"/>
    <w:basedOn w:val="708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18"/>
    <w:uiPriority w:val="99"/>
    <w:semiHidden/>
    <w:unhideWhenUsed/>
    <w:rPr>
      <w:vertAlign w:val="superscript"/>
    </w:rPr>
  </w:style>
  <w:style w:type="paragraph" w:styleId="880">
    <w:name w:val="toc 1"/>
    <w:basedOn w:val="708"/>
    <w:next w:val="708"/>
    <w:uiPriority w:val="39"/>
    <w:unhideWhenUsed/>
    <w:pPr>
      <w:spacing w:after="57"/>
    </w:pPr>
  </w:style>
  <w:style w:type="paragraph" w:styleId="881">
    <w:name w:val="toc 2"/>
    <w:basedOn w:val="708"/>
    <w:next w:val="708"/>
    <w:uiPriority w:val="39"/>
    <w:unhideWhenUsed/>
    <w:pPr>
      <w:ind w:left="283"/>
      <w:spacing w:after="57"/>
    </w:pPr>
  </w:style>
  <w:style w:type="paragraph" w:styleId="882">
    <w:name w:val="toc 3"/>
    <w:basedOn w:val="708"/>
    <w:next w:val="708"/>
    <w:uiPriority w:val="39"/>
    <w:unhideWhenUsed/>
    <w:pPr>
      <w:ind w:left="567"/>
      <w:spacing w:after="57"/>
    </w:pPr>
  </w:style>
  <w:style w:type="paragraph" w:styleId="883">
    <w:name w:val="toc 4"/>
    <w:basedOn w:val="708"/>
    <w:next w:val="708"/>
    <w:uiPriority w:val="39"/>
    <w:unhideWhenUsed/>
    <w:pPr>
      <w:ind w:left="850"/>
      <w:spacing w:after="57"/>
    </w:pPr>
  </w:style>
  <w:style w:type="paragraph" w:styleId="884">
    <w:name w:val="toc 5"/>
    <w:basedOn w:val="708"/>
    <w:next w:val="708"/>
    <w:uiPriority w:val="39"/>
    <w:unhideWhenUsed/>
    <w:pPr>
      <w:ind w:left="1134"/>
      <w:spacing w:after="57"/>
    </w:pPr>
  </w:style>
  <w:style w:type="paragraph" w:styleId="885">
    <w:name w:val="toc 6"/>
    <w:basedOn w:val="708"/>
    <w:next w:val="708"/>
    <w:uiPriority w:val="39"/>
    <w:unhideWhenUsed/>
    <w:pPr>
      <w:ind w:left="1417"/>
      <w:spacing w:after="57"/>
    </w:pPr>
  </w:style>
  <w:style w:type="paragraph" w:styleId="886">
    <w:name w:val="toc 7"/>
    <w:basedOn w:val="708"/>
    <w:next w:val="708"/>
    <w:uiPriority w:val="39"/>
    <w:unhideWhenUsed/>
    <w:pPr>
      <w:ind w:left="1701"/>
      <w:spacing w:after="57"/>
    </w:pPr>
  </w:style>
  <w:style w:type="paragraph" w:styleId="887">
    <w:name w:val="toc 8"/>
    <w:basedOn w:val="708"/>
    <w:next w:val="708"/>
    <w:uiPriority w:val="39"/>
    <w:unhideWhenUsed/>
    <w:pPr>
      <w:ind w:left="1984"/>
      <w:spacing w:after="57"/>
    </w:pPr>
  </w:style>
  <w:style w:type="paragraph" w:styleId="888">
    <w:name w:val="toc 9"/>
    <w:basedOn w:val="708"/>
    <w:next w:val="708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08"/>
    <w:next w:val="708"/>
    <w:uiPriority w:val="99"/>
    <w:unhideWhenUsed/>
  </w:style>
  <w:style w:type="character" w:styleId="891" w:customStyle="1">
    <w:name w:val="Заголовок 1 Знак"/>
    <w:basedOn w:val="718"/>
    <w:link w:val="709"/>
    <w:uiPriority w:val="99"/>
    <w:rPr>
      <w:rFonts w:ascii="Cambria" w:hAnsi="Cambria" w:cs="Times New Roman"/>
      <w:b/>
      <w:bCs/>
      <w:sz w:val="32"/>
      <w:szCs w:val="32"/>
    </w:rPr>
  </w:style>
  <w:style w:type="character" w:styleId="892" w:customStyle="1">
    <w:name w:val="Заголовок 2 Знак"/>
    <w:basedOn w:val="718"/>
    <w:link w:val="710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3" w:customStyle="1">
    <w:name w:val="Заголовок 3 Знак"/>
    <w:basedOn w:val="718"/>
    <w:link w:val="711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4" w:customStyle="1">
    <w:name w:val="Заголовок 4 Знак"/>
    <w:basedOn w:val="718"/>
    <w:link w:val="712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5" w:customStyle="1">
    <w:name w:val="Заголовок 5 Знак"/>
    <w:basedOn w:val="718"/>
    <w:link w:val="713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6" w:customStyle="1">
    <w:name w:val="Заголовок 6 Знак"/>
    <w:basedOn w:val="718"/>
    <w:link w:val="714"/>
    <w:uiPriority w:val="99"/>
    <w:semiHidden/>
    <w:rPr>
      <w:rFonts w:ascii="Calibri" w:hAnsi="Calibri" w:cs="Times New Roman"/>
      <w:b/>
      <w:bCs/>
    </w:rPr>
  </w:style>
  <w:style w:type="character" w:styleId="897" w:customStyle="1">
    <w:name w:val="Заголовок 7 Знак"/>
    <w:basedOn w:val="718"/>
    <w:link w:val="715"/>
    <w:uiPriority w:val="99"/>
    <w:semiHidden/>
    <w:rPr>
      <w:rFonts w:ascii="Calibri" w:hAnsi="Calibri" w:cs="Times New Roman"/>
      <w:sz w:val="24"/>
      <w:szCs w:val="24"/>
    </w:rPr>
  </w:style>
  <w:style w:type="character" w:styleId="898" w:customStyle="1">
    <w:name w:val="Заголовок 8 Знак"/>
    <w:basedOn w:val="718"/>
    <w:link w:val="716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9" w:customStyle="1">
    <w:name w:val="Заголовок 9 Знак"/>
    <w:basedOn w:val="718"/>
    <w:link w:val="717"/>
    <w:uiPriority w:val="99"/>
    <w:semiHidden/>
    <w:rPr>
      <w:rFonts w:ascii="Cambria" w:hAnsi="Cambria" w:cs="Times New Roman"/>
    </w:rPr>
  </w:style>
  <w:style w:type="paragraph" w:styleId="900" w:customStyle="1">
    <w:name w:val="заголовок 1"/>
    <w:basedOn w:val="708"/>
    <w:next w:val="70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1" w:customStyle="1">
    <w:name w:val="заголовок 2"/>
    <w:basedOn w:val="708"/>
    <w:next w:val="708"/>
    <w:uiPriority w:val="99"/>
    <w:pPr>
      <w:jc w:val="center"/>
      <w:keepNext/>
      <w:outlineLvl w:val="1"/>
    </w:pPr>
    <w:rPr>
      <w:sz w:val="28"/>
      <w:szCs w:val="28"/>
    </w:rPr>
  </w:style>
  <w:style w:type="character" w:styleId="902" w:customStyle="1">
    <w:name w:val="Основной шрифт"/>
    <w:uiPriority w:val="99"/>
  </w:style>
  <w:style w:type="paragraph" w:styleId="903">
    <w:name w:val="Header"/>
    <w:basedOn w:val="708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904" w:customStyle="1">
    <w:name w:val="Верхний колонтитул Знак"/>
    <w:basedOn w:val="718"/>
    <w:link w:val="903"/>
    <w:uiPriority w:val="99"/>
    <w:rPr>
      <w:rFonts w:cs="Times New Roman"/>
      <w:sz w:val="20"/>
      <w:szCs w:val="20"/>
    </w:rPr>
  </w:style>
  <w:style w:type="character" w:styleId="905" w:customStyle="1">
    <w:name w:val="номер страницы"/>
    <w:basedOn w:val="902"/>
    <w:uiPriority w:val="99"/>
    <w:rPr>
      <w:rFonts w:cs="Times New Roman"/>
    </w:rPr>
  </w:style>
  <w:style w:type="paragraph" w:styleId="906">
    <w:name w:val="Body Text"/>
    <w:basedOn w:val="708"/>
    <w:link w:val="907"/>
    <w:uiPriority w:val="99"/>
    <w:pPr>
      <w:jc w:val="both"/>
    </w:pPr>
    <w:rPr>
      <w:sz w:val="28"/>
      <w:szCs w:val="28"/>
    </w:rPr>
  </w:style>
  <w:style w:type="character" w:styleId="907" w:customStyle="1">
    <w:name w:val="Основной текст Знак"/>
    <w:basedOn w:val="718"/>
    <w:link w:val="906"/>
    <w:uiPriority w:val="99"/>
    <w:semiHidden/>
    <w:rPr>
      <w:rFonts w:cs="Times New Roman"/>
      <w:sz w:val="20"/>
      <w:szCs w:val="20"/>
    </w:rPr>
  </w:style>
  <w:style w:type="paragraph" w:styleId="908">
    <w:name w:val="Body Text 2"/>
    <w:basedOn w:val="708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2 Знак"/>
    <w:basedOn w:val="718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Indent 2"/>
    <w:basedOn w:val="708"/>
    <w:link w:val="911"/>
    <w:uiPriority w:val="99"/>
    <w:pPr>
      <w:ind w:firstLine="709"/>
      <w:jc w:val="both"/>
    </w:pPr>
    <w:rPr>
      <w:sz w:val="28"/>
      <w:szCs w:val="28"/>
    </w:rPr>
  </w:style>
  <w:style w:type="character" w:styleId="911" w:customStyle="1">
    <w:name w:val="Основной текст с отступом 2 Знак"/>
    <w:basedOn w:val="718"/>
    <w:link w:val="910"/>
    <w:uiPriority w:val="99"/>
    <w:semiHidden/>
    <w:rPr>
      <w:rFonts w:cs="Times New Roman"/>
      <w:sz w:val="20"/>
      <w:szCs w:val="20"/>
    </w:rPr>
  </w:style>
  <w:style w:type="paragraph" w:styleId="912">
    <w:name w:val="Footer"/>
    <w:basedOn w:val="708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913" w:customStyle="1">
    <w:name w:val="Нижний колонтитул Знак"/>
    <w:basedOn w:val="718"/>
    <w:link w:val="912"/>
    <w:uiPriority w:val="99"/>
    <w:rPr>
      <w:rFonts w:cs="Times New Roman"/>
      <w:sz w:val="20"/>
      <w:szCs w:val="20"/>
    </w:rPr>
  </w:style>
  <w:style w:type="paragraph" w:styleId="914">
    <w:name w:val="Body Text Indent 3"/>
    <w:basedOn w:val="708"/>
    <w:link w:val="91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5" w:customStyle="1">
    <w:name w:val="Основной текст с отступом 3 Знак"/>
    <w:basedOn w:val="718"/>
    <w:link w:val="914"/>
    <w:uiPriority w:val="99"/>
    <w:semiHidden/>
    <w:rPr>
      <w:rFonts w:cs="Times New Roman"/>
      <w:sz w:val="16"/>
      <w:szCs w:val="16"/>
    </w:rPr>
  </w:style>
  <w:style w:type="paragraph" w:styleId="91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9">
    <w:name w:val="Table Grid"/>
    <w:basedOn w:val="719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0">
    <w:name w:val="Body Text Indent"/>
    <w:basedOn w:val="708"/>
    <w:link w:val="921"/>
    <w:uiPriority w:val="99"/>
    <w:pPr>
      <w:ind w:left="283"/>
      <w:spacing w:after="120"/>
    </w:pPr>
  </w:style>
  <w:style w:type="character" w:styleId="921" w:customStyle="1">
    <w:name w:val="Основной текст с отступом Знак"/>
    <w:basedOn w:val="718"/>
    <w:link w:val="920"/>
    <w:uiPriority w:val="99"/>
    <w:semiHidden/>
    <w:rPr>
      <w:rFonts w:cs="Times New Roman"/>
      <w:sz w:val="20"/>
      <w:szCs w:val="20"/>
    </w:rPr>
  </w:style>
  <w:style w:type="paragraph" w:styleId="922">
    <w:name w:val="Balloon Text"/>
    <w:basedOn w:val="708"/>
    <w:link w:val="923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718"/>
    <w:link w:val="922"/>
    <w:uiPriority w:val="99"/>
    <w:semiHidden/>
    <w:rPr>
      <w:rFonts w:ascii="Tahoma" w:hAnsi="Tahoma" w:cs="Tahoma"/>
      <w:sz w:val="16"/>
      <w:szCs w:val="16"/>
    </w:rPr>
  </w:style>
  <w:style w:type="character" w:styleId="924">
    <w:name w:val="page number"/>
    <w:basedOn w:val="718"/>
    <w:uiPriority w:val="99"/>
    <w:rPr>
      <w:rFonts w:cs="Times New Roman"/>
    </w:rPr>
  </w:style>
  <w:style w:type="table" w:styleId="92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6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7">
    <w:name w:val="Hyperlink"/>
    <w:basedOn w:val="718"/>
    <w:uiPriority w:val="99"/>
    <w:semiHidden/>
    <w:unhideWhenUsed/>
    <w:rPr>
      <w:rFonts w:cs="Times New Roman"/>
      <w:color w:val="0000ff"/>
      <w:u w:val="single"/>
    </w:rPr>
  </w:style>
  <w:style w:type="paragraph" w:styleId="92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9">
    <w:name w:val="List Paragraph"/>
    <w:basedOn w:val="708"/>
    <w:uiPriority w:val="34"/>
    <w:qFormat/>
    <w:pPr>
      <w:contextualSpacing/>
      <w:ind w:left="720"/>
    </w:pPr>
  </w:style>
  <w:style w:type="character" w:styleId="930">
    <w:name w:val="annotation reference"/>
    <w:basedOn w:val="718"/>
    <w:uiPriority w:val="99"/>
    <w:semiHidden/>
    <w:unhideWhenUsed/>
    <w:rPr>
      <w:sz w:val="16"/>
      <w:szCs w:val="16"/>
    </w:rPr>
  </w:style>
  <w:style w:type="paragraph" w:styleId="931">
    <w:name w:val="annotation text"/>
    <w:basedOn w:val="708"/>
    <w:link w:val="932"/>
    <w:uiPriority w:val="99"/>
    <w:semiHidden/>
    <w:unhideWhenUsed/>
  </w:style>
  <w:style w:type="character" w:styleId="932" w:customStyle="1">
    <w:name w:val="Текст примечания Знак"/>
    <w:basedOn w:val="718"/>
    <w:link w:val="931"/>
    <w:uiPriority w:val="99"/>
    <w:semiHidden/>
    <w:rPr>
      <w:sz w:val="20"/>
      <w:szCs w:val="20"/>
    </w:rPr>
  </w:style>
  <w:style w:type="paragraph" w:styleId="933">
    <w:name w:val="annotation subject"/>
    <w:basedOn w:val="931"/>
    <w:next w:val="931"/>
    <w:link w:val="934"/>
    <w:uiPriority w:val="99"/>
    <w:semiHidden/>
    <w:unhideWhenUsed/>
    <w:rPr>
      <w:b/>
      <w:bCs/>
    </w:rPr>
  </w:style>
  <w:style w:type="character" w:styleId="934" w:customStyle="1">
    <w:name w:val="Тема примечания Знак"/>
    <w:basedOn w:val="932"/>
    <w:link w:val="933"/>
    <w:uiPriority w:val="99"/>
    <w:semiHidden/>
    <w:rPr>
      <w:b/>
      <w:bCs/>
      <w:sz w:val="20"/>
      <w:szCs w:val="20"/>
    </w:rPr>
  </w:style>
  <w:style w:type="character" w:styleId="935" w:customStyle="1">
    <w:name w:val="Подпись к картинке + 9;5 pt;Не полужирный Exact"/>
    <w:basedOn w:val="71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36" w:customStyle="1">
    <w:name w:val="Сетка таблицы2"/>
    <w:basedOn w:val="719"/>
    <w:next w:val="9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7" w:customStyle="1">
    <w:name w:val="Подпись к картинке + 9"/>
    <w:basedOn w:val="718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95C4BFA68773DF14F219046D92EC41E676DE16F2429155CFF9B1907BE1586FE4B707A8CA37C667D631E2B818A390560D0C19468A6F1D9592MFe6J" TargetMode="External"/><Relationship Id="rId13" Type="http://schemas.openxmlformats.org/officeDocument/2006/relationships/hyperlink" Target="consultantplus://offline/ref=95C4BFA68773DF14F219046D92EC41E676DE16F2429155CFF9B1907BE1586FE4B707A8CA37C667D430E2B818A390560D0C19468A6F1D9592MFe6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FAAA21-8C35-468A-B9A2-3409A5A8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27</cp:revision>
  <dcterms:created xsi:type="dcterms:W3CDTF">2025-10-08T05:52:00Z</dcterms:created>
  <dcterms:modified xsi:type="dcterms:W3CDTF">2026-01-22T10:15:34Z</dcterms:modified>
</cp:coreProperties>
</file>