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22"/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2919"/>
        <w:gridCol w:w="36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приказу министерства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Новосибирской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области от_____ №___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«УТВЕРЖДЕНЫ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приказом министерства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строительства Новосибирской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области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11.05.2023 № 244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6136" w:leader="none"/>
        </w:tabs>
        <w:rPr>
          <w:highlight w:val="none"/>
        </w:rPr>
      </w:pPr>
      <w:r>
        <w:rPr>
          <w:highlight w:val="none"/>
        </w:rPr>
        <w:tab/>
      </w:r>
      <w:r>
        <w:rPr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ТРЕБОВАНИЯ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 земельным участкам, планируемым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для строительства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(возведения)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объектов социальной инфраструктуры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99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 Размер земельных участков, планируемых для строительства (возведения) объектов здравоохранения (поликлиники, фельдшерско-акушерские пункты), дошкольных образовательных организаций, общеобразовательных организаций (далее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объекты социальной инфраструктуры), определяе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тся в соответствии со следующими расчетами: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72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827"/>
        <w:gridCol w:w="1985"/>
      </w:tblGrid>
      <w:tr>
        <w:tblPrEx/>
        <w:trPr>
          <w:trHeight w:val="525"/>
        </w:trPr>
        <w:tc>
          <w:tcPr>
            <w:tcW w:w="3543" w:type="dxa"/>
            <w:textDirection w:val="lrTb"/>
            <w:noWrap w:val="false"/>
          </w:tcPr>
          <w:p>
            <w:pPr>
              <w:pStyle w:val="873"/>
              <w:ind w:left="0" w:right="0" w:firstLine="992"/>
              <w:spacing w:line="264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Вид объекта социальной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gridSpan w:val="2"/>
            <w:tcW w:w="5812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before="5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Минимальный</w:t>
            </w:r>
            <w:r>
              <w:rPr>
                <w:rFonts w:ascii="Times New Roman" w:hAnsi="Times New Roman" w:eastAsia="Times New Roman" w:cs="Times New Roman"/>
                <w:spacing w:val="5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размер</w:t>
            </w:r>
            <w:r>
              <w:rPr>
                <w:rFonts w:ascii="Times New Roman" w:hAnsi="Times New Roman" w:eastAsia="Times New Roman" w:cs="Times New Roman"/>
                <w:spacing w:val="19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земельного</w:t>
            </w:r>
            <w:r>
              <w:rPr>
                <w:rFonts w:ascii="Times New Roman" w:hAnsi="Times New Roman" w:eastAsia="Times New Roman" w:cs="Times New Roman"/>
                <w:spacing w:val="39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участка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530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before="5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</w:p>
          <w:p>
            <w:pPr>
              <w:pStyle w:val="873"/>
              <w:ind w:left="0" w:right="0" w:firstLine="0"/>
              <w:jc w:val="left"/>
              <w:spacing w:line="252" w:lineRule="auto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Дошкольные</w:t>
            </w:r>
            <w:r>
              <w:rPr>
                <w:rFonts w:ascii="Times New Roman" w:hAnsi="Times New Roman" w:eastAsia="Times New Roman" w:cs="Times New Roman"/>
                <w:spacing w:val="8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before="3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мощность,</w:t>
            </w:r>
            <w:r>
              <w:rPr>
                <w:rFonts w:ascii="Times New Roman" w:hAnsi="Times New Roman" w:eastAsia="Times New Roman" w:cs="Times New Roman"/>
                <w:spacing w:val="3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highlight w:val="none"/>
              </w:rPr>
              <w:t xml:space="preserve">мест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0"/>
              <w:jc w:val="left"/>
              <w:spacing w:before="3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обеспеченность,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  <w:p>
            <w:pPr>
              <w:pStyle w:val="873"/>
              <w:ind w:left="0" w:right="0" w:firstLine="0"/>
              <w:jc w:val="left"/>
              <w:spacing w:before="13" w:line="230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/место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before="4" w:line="238" w:lineRule="exact"/>
              <w:rPr>
                <w:rFonts w:ascii="Times New Roman" w:hAnsi="Times New Roman" w:cs="Times New Roman"/>
                <w:b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45"/>
                <w:sz w:val="28"/>
                <w:szCs w:val="28"/>
                <w:highlight w:val="non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before="5" w:line="237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40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247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line="228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свыше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before="5" w:line="222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35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before="5" w:line="230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комплексе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организаций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свыше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500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before="12" w:line="222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30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818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before="5" w:line="252" w:lineRule="auto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размер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групповой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площадки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детей ясельного возраста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before="12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3,5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518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</w:p>
          <w:p>
            <w:pPr>
              <w:pStyle w:val="873"/>
              <w:ind w:left="0" w:right="0" w:firstLine="0"/>
              <w:jc w:val="left"/>
              <w:spacing w:line="252" w:lineRule="auto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Общеобразовательные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организации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gridSpan w:val="2"/>
            <w:tcW w:w="5812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line="263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pacing w:val="23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вместимости</w:t>
            </w:r>
            <w:r>
              <w:rPr>
                <w:rFonts w:ascii="Times New Roman" w:hAnsi="Times New Roman" w:eastAsia="Times New Roman" w:cs="Times New Roman"/>
                <w:spacing w:val="3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организации,</w:t>
            </w:r>
            <w:r>
              <w:rPr>
                <w:rFonts w:ascii="Times New Roman" w:hAnsi="Times New Roman" w:eastAsia="Times New Roman" w:cs="Times New Roman"/>
                <w:spacing w:val="3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учащихся</w:t>
            </w:r>
            <w:r>
              <w:rPr>
                <w:rFonts w:ascii="Times New Roman" w:hAnsi="Times New Roman" w:eastAsia="Times New Roman" w:cs="Times New Roman"/>
                <w:spacing w:val="2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–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кв.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м/учащийся: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line="199" w:lineRule="exact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992"/>
              <w:jc w:val="center"/>
              <w:spacing w:line="199" w:lineRule="exact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от40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pacing w:val="9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line="199" w:lineRule="exact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</w:p>
          <w:p>
            <w:pPr>
              <w:pStyle w:val="873"/>
              <w:ind w:left="0" w:right="0" w:firstLine="992"/>
              <w:jc w:val="left"/>
              <w:spacing w:line="199" w:lineRule="exact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before="12" w:line="230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401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pacing w:val="5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500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before="12" w:line="230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40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line="235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501 до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600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line="235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33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247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line="228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highlight w:val="non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601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  <w:highlight w:val="non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800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line="228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before="5" w:line="230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801 до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highlight w:val="none"/>
              </w:rPr>
              <w:t xml:space="preserve"> 1100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line="235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line="235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1101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highlight w:val="none"/>
              </w:rPr>
              <w:t xml:space="preserve">1600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line="235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center"/>
              <w:spacing w:before="5" w:line="237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свыше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highlight w:val="none"/>
              </w:rPr>
              <w:t xml:space="preserve">1600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before="5" w:line="237" w:lineRule="exac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1901"/>
        </w:trPr>
        <w:tc>
          <w:tcPr>
            <w:tcW w:w="3543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line="244" w:lineRule="auto"/>
              <w:tabs>
                <w:tab w:val="left" w:pos="1406" w:leader="none"/>
                <w:tab w:val="left" w:pos="2024" w:leader="none"/>
                <w:tab w:val="left" w:pos="2108" w:leader="none"/>
                <w:tab w:val="left" w:pos="2174" w:leader="none"/>
              </w:tabs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Лечебно-профилактические медицинские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8"/>
                <w:szCs w:val="28"/>
                <w:highlight w:val="none"/>
              </w:rPr>
              <w:t xml:space="preserve"> организации,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оказ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ыв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ающие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8"/>
                <w:szCs w:val="28"/>
                <w:highlight w:val="none"/>
              </w:rPr>
              <w:t xml:space="preserve"> медицинскую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помощь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highlight w:val="none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 амбулаторных условия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х(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поликлиники)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gridSpan w:val="2"/>
            <w:tcW w:w="5812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посещений</w:t>
            </w:r>
            <w:r>
              <w:rPr>
                <w:rFonts w:ascii="Times New Roman" w:hAnsi="Times New Roman" w:eastAsia="Times New Roman" w:cs="Times New Roman"/>
                <w:spacing w:val="2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смену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 xml:space="preserve">га,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  <w:p>
            <w:pPr>
              <w:pStyle w:val="873"/>
              <w:ind w:left="0" w:right="0" w:firstLine="992"/>
              <w:jc w:val="left"/>
              <w:spacing w:before="7" w:line="244" w:lineRule="auto"/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pacing w:val="8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8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highlight w:val="none"/>
              </w:rPr>
              <w:t xml:space="preserve">менее</w:t>
            </w:r>
            <w:r>
              <w:rPr>
                <w:rFonts w:ascii="Times New Roman" w:hAnsi="Times New Roman" w:eastAsia="Times New Roman" w:cs="Times New Roman"/>
                <w:spacing w:val="80"/>
                <w:position w:val="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highlight w:val="none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pacing w:val="80"/>
                <w:position w:val="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highlight w:val="none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pacing w:val="80"/>
                <w:position w:val="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80"/>
                <w:position w:val="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highlight w:val="none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pacing w:val="80"/>
                <w:position w:val="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highlight w:val="none"/>
              </w:rPr>
              <w:t xml:space="preserve">отдельно</w:t>
            </w:r>
            <w:r>
              <w:rPr>
                <w:rFonts w:ascii="Times New Roman" w:hAnsi="Times New Roman" w:eastAsia="Times New Roman" w:cs="Times New Roman"/>
                <w:spacing w:val="80"/>
                <w:position w:val="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highlight w:val="none"/>
              </w:rPr>
              <w:t xml:space="preserve">стоящего</w:t>
            </w:r>
            <w:r>
              <w:rPr>
                <w:rFonts w:ascii="Times New Roman" w:hAnsi="Times New Roman" w:eastAsia="Times New Roman" w:cs="Times New Roman"/>
                <w:spacing w:val="80"/>
                <w:position w:val="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  <w:highlight w:val="none"/>
              </w:rPr>
              <w:t xml:space="preserve">здания,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встроенные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0,2 га на объект.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</w:tr>
      <w:tr>
        <w:tblPrEx/>
        <w:trPr>
          <w:trHeight w:val="1651"/>
        </w:trPr>
        <w:tc>
          <w:tcPr>
            <w:tcW w:w="3543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before="12" w:line="242" w:lineRule="auto"/>
              <w:tabs>
                <w:tab w:val="left" w:pos="1416" w:leader="none"/>
                <w:tab w:val="left" w:pos="2034" w:leader="none"/>
                <w:tab w:val="left" w:pos="2097" w:leader="none"/>
                <w:tab w:val="left" w:pos="2177" w:leader="none"/>
              </w:tabs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Лечебно-профилактические медицинские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8"/>
                <w:szCs w:val="28"/>
                <w:highlight w:val="none"/>
              </w:rPr>
              <w:t xml:space="preserve"> организации,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оказывающие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8"/>
                <w:szCs w:val="28"/>
                <w:highlight w:val="none"/>
              </w:rPr>
              <w:t xml:space="preserve"> медицинскую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помощь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highlight w:val="none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 амбулаторных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  <w:p>
            <w:pPr>
              <w:pStyle w:val="873"/>
              <w:ind w:left="0" w:right="0" w:firstLine="992"/>
              <w:jc w:val="left"/>
              <w:spacing w:line="270" w:lineRule="exact"/>
              <w:tabs>
                <w:tab w:val="left" w:pos="2004" w:leader="none"/>
              </w:tabs>
              <w:rPr>
                <w:rFonts w:ascii="Times New Roman" w:hAnsi="Times New Roman" w:cs="Times New Roman"/>
                <w:sz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highlight w:val="none"/>
              </w:rPr>
              <w:t xml:space="preserve">условиях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pacing w:val="-38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фельдшерск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акушерские пункты)</w:t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highlight w:val="none"/>
              </w:rPr>
            </w:r>
          </w:p>
        </w:tc>
        <w:tc>
          <w:tcPr>
            <w:gridSpan w:val="2"/>
            <w:tcW w:w="5812" w:type="dxa"/>
            <w:textDirection w:val="lrTb"/>
            <w:noWrap w:val="false"/>
          </w:tcPr>
          <w:p>
            <w:pPr>
              <w:pStyle w:val="873"/>
              <w:ind w:left="0" w:right="0" w:firstLine="992"/>
              <w:jc w:val="left"/>
              <w:spacing w:line="252" w:lineRule="auto"/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Объекты капитального строительства:</w:t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none"/>
              </w:rPr>
            </w:r>
          </w:p>
          <w:p>
            <w:pPr>
              <w:pStyle w:val="873"/>
              <w:ind w:left="0" w:right="0" w:firstLine="992"/>
              <w:jc w:val="left"/>
              <w:spacing w:line="252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жилого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модуля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33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менее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1700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(0,17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га);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992"/>
              <w:jc w:val="left"/>
              <w:spacing w:line="252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 жилым модулем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4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не менее 2000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кв.м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(0,2 га).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992"/>
              <w:jc w:val="left"/>
              <w:spacing w:line="252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Некапитальные объекты: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992"/>
              <w:jc w:val="left"/>
              <w:spacing w:line="252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жилого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модуля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33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менее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1200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(0,12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га).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73"/>
              <w:ind w:left="0" w:right="0" w:firstLine="992"/>
              <w:jc w:val="left"/>
              <w:spacing w:line="252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874"/>
        <w:ind w:left="0" w:right="0" w:firstLine="99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992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4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9723120</wp:posOffset>
                </wp:positionV>
                <wp:extent cx="0" cy="516890"/>
                <wp:effectExtent l="0" t="0" r="0" b="0"/>
                <wp:wrapNone/>
                <wp:docPr id="1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516888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A1A1A1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66864640;mso-wrap-distance-left:9.00pt;mso-wrap-distance-top:0.00pt;mso-wrap-distance-right:9.00pt;mso-wrap-distance-bottom:0.00pt;visibility:visible;" from="0.0pt,765.6pt" to="0.0pt,806.3pt" fillcolor="#FFFFFF" strokecolor="#A1A1A1" strokeweight="0.0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5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445" cy="4401820"/>
                <wp:effectExtent l="0" t="0" r="0" b="0"/>
                <wp:wrapNone/>
                <wp:docPr id="2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41" cy="44018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66865152;o:allowoverlap:true;o:allowincell:true;mso-position-horizontal-relative:page;margin-left:0.00pt;mso-position-horizontal:absolute;mso-position-vertical-relative:page;margin-top:0.00pt;mso-position-vertical:absolute;width:0.35pt;height:346.60pt;mso-wrap-distance-left:9.00pt;mso-wrap-distance-top:0.00pt;mso-wrap-distance-right:9.00pt;mso-wrap-distance-bottom:0.00pt;visibility:visible;" fillcolor="#000000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6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10666095</wp:posOffset>
                </wp:positionV>
                <wp:extent cx="6899910" cy="0"/>
                <wp:effectExtent l="0" t="0" r="0" b="0"/>
                <wp:wrapNone/>
                <wp:docPr id="3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99906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359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66866176;mso-wrap-distance-left:9.00pt;mso-wrap-distance-top:0.00pt;mso-wrap-distance-right:9.00pt;mso-wrap-distance-bottom:0.00pt;visibility:visible;" from="0.0pt,839.8pt" to="543.3pt,839.8pt" fillcolor="#FFFFFF" strokecolor="#000000" strokeweight="1.07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Территориальная зона, в границах которой расположен земельный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участок, должна предусматривать размещение объекта социальной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инфраструктуры в соответствии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правилами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землепользования и застройки.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4"/>
        <w:ind w:left="0" w:right="0" w:firstLine="992"/>
        <w:jc w:val="both"/>
        <w:spacing w:before="6" w:line="256" w:lineRule="auto"/>
        <w:rPr>
          <w:rFonts w:ascii="Times New Roman" w:hAnsi="Times New Roman" w:cs="Times New Roman"/>
          <w:spacing w:val="-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Градостроительный регламент для территориальной зоны, в границах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которой расположен земельный участок в соответствии с правилами землепользования и застройки, а именно,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вид разрешенного использования, предельные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должен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позволять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размещение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планируемого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объекта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социальной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инфраструктуры.</w:t>
      </w:r>
      <w:r>
        <w:rPr>
          <w:rFonts w:ascii="Times New Roman" w:hAnsi="Times New Roman" w:cs="Times New Roman"/>
          <w:spacing w:val="-2"/>
          <w:highlight w:val="none"/>
        </w:rPr>
      </w:r>
      <w:r>
        <w:rPr>
          <w:rFonts w:ascii="Times New Roman" w:hAnsi="Times New Roman" w:cs="Times New Roman"/>
          <w:spacing w:val="-2"/>
          <w:highlight w:val="none"/>
        </w:rPr>
      </w:r>
    </w:p>
    <w:p>
      <w:pPr>
        <w:pStyle w:val="874"/>
        <w:ind w:left="0" w:right="0" w:firstLine="992"/>
        <w:jc w:val="both"/>
        <w:spacing w:before="6" w:line="25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Сведения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наименованиях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видов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разрешенного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использования земельных участков, содержащиеся в Едином государственном реестре недвижимости, должны соответствовать классификатору видов разрешенного использования земельных участков, утвержденному приказом Федеральной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службы</w:t>
      </w:r>
      <w:r>
        <w:rPr>
          <w:rFonts w:ascii="Times New Roman" w:hAnsi="Times New Roman" w:eastAsia="Times New Roman" w:cs="Times New Roman"/>
          <w:spacing w:val="7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регистрации,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кадастра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картографии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10.11.2020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spacing w:val="-19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/0412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(«здравоохранение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(3.4)»;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«амбулаторно-поликлиническое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обслуживание (3.4.1)»; «образование и просвещение (3.5)»; «дошкольное,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начальное и среднее общее образование (3.5.1)», в случае необходимости строительства инженерных сетей и технологически связанных с ними зданий, строений и сооружений,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«коммунальное обслуживание (3.1)», «предоставление коммунальных услуг (3.1.1)»).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992"/>
        <w:jc w:val="both"/>
        <w:spacing w:line="256" w:lineRule="auto"/>
        <w:rPr>
          <w:rFonts w:ascii="Times New Roman" w:hAnsi="Times New Roman" w:cs="Times New Roman"/>
          <w:b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Земельные участки должны быть обеспечены централизованными сетями инженерно-технического обеспечения систем инженерно-технического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обеспечения (водоснабжение, электроснабжение)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вода в сетях водоснабжения должна соответствовать санитарно-эпидемиологическим требованиям,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что должно подтверждаться соответствующим санитарно-эпидемиологическим заключением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highlight w:val="none"/>
          <w:u w:val="single"/>
        </w:rPr>
      </w:r>
      <w:r>
        <w:rPr>
          <w:rFonts w:ascii="Times New Roman" w:hAnsi="Times New Roman" w:cs="Times New Roman"/>
          <w:b/>
          <w:highlight w:val="none"/>
          <w:u w:val="single"/>
        </w:rPr>
      </w:r>
    </w:p>
    <w:p>
      <w:pPr>
        <w:pStyle w:val="874"/>
        <w:ind w:left="0" w:right="0" w:firstLine="992"/>
        <w:jc w:val="both"/>
        <w:spacing w:line="25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Земельные</w:t>
      </w:r>
      <w:r>
        <w:rPr>
          <w:rFonts w:ascii="Times New Roman" w:hAnsi="Times New Roman" w:eastAsia="Times New Roman" w:cs="Times New Roman"/>
          <w:spacing w:val="28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участки</w:t>
      </w:r>
      <w:r>
        <w:rPr>
          <w:rFonts w:ascii="Times New Roman" w:hAnsi="Times New Roman" w:eastAsia="Times New Roman" w:cs="Times New Roman"/>
          <w:spacing w:val="2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должны</w:t>
      </w:r>
      <w:r>
        <w:rPr>
          <w:rFonts w:ascii="Times New Roman" w:hAnsi="Times New Roman" w:eastAsia="Times New Roman" w:cs="Times New Roman"/>
          <w:spacing w:val="2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быть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свободны: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992"/>
        <w:jc w:val="both"/>
        <w:spacing w:before="29" w:line="25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застройки (отсутствие подземных и надземных объектов), а также древесно-кустарниковой растительности, демонтаж и устранение которых увеличивает стоимость и сроки строительства (возведения);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992"/>
        <w:jc w:val="both"/>
        <w:spacing w:before="4" w:line="259" w:lineRule="auto"/>
        <w:rPr>
          <w:rFonts w:ascii="Times New Roman" w:hAnsi="Times New Roman" w:cs="Times New Roman"/>
          <w:spacing w:val="-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прав трет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ьих лиц, не иметь ограничения, обременения (сервитуты) и заявленные в судебном порядке права требования, сведения о возражении в отношении зарегистрированного права, сведения о наличии решения об изъятии объекта недвижимости для государственных и муниципал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ьных нужд и другие сведения, препятствующие надлежащему строительству (возведению) объектов социальной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инфраструктуры.</w:t>
      </w:r>
      <w:r>
        <w:rPr>
          <w:rFonts w:ascii="Times New Roman" w:hAnsi="Times New Roman" w:cs="Times New Roman"/>
          <w:spacing w:val="-2"/>
          <w:highlight w:val="none"/>
        </w:rPr>
      </w:r>
      <w:r>
        <w:rPr>
          <w:rFonts w:ascii="Times New Roman" w:hAnsi="Times New Roman" w:cs="Times New Roman"/>
          <w:spacing w:val="-2"/>
          <w:highlight w:val="none"/>
        </w:rPr>
      </w:r>
    </w:p>
    <w:p>
      <w:pPr>
        <w:pStyle w:val="874"/>
        <w:ind w:left="0" w:right="0" w:firstLine="992"/>
        <w:jc w:val="both"/>
        <w:spacing w:before="4" w:line="259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территории земельных участков не должны проходить магистральные инженерные коммуникации и охранные зоны инженерных коммуникаций: водо-, тепло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электро-,</w:t>
      </w:r>
      <w:r>
        <w:rPr>
          <w:rFonts w:ascii="Times New Roman" w:hAnsi="Times New Roman" w:eastAsia="Times New Roman" w:cs="Times New Roman"/>
          <w:spacing w:val="3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газоснабжения, канализационные сети, кабели</w:t>
      </w:r>
      <w:r>
        <w:rPr>
          <w:rFonts w:ascii="Times New Roman" w:hAnsi="Times New Roman" w:eastAsia="Times New Roman" w:cs="Times New Roman"/>
          <w:spacing w:val="2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связи и иные сети.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ind w:left="0" w:right="0" w:firstLine="992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Земельные участки должны иметь правильную квадратную или прямо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угольную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форму, при этом ширина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любой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 сторон должна быть: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69"/>
        <w:ind w:left="0" w:right="0" w:firstLine="992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капитальных объектов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 менее 35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40 метров;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69"/>
        <w:ind w:left="0" w:right="0" w:firstLine="99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некапитальных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объектов не менее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30 метров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ind w:left="0" w:right="0" w:firstLine="992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Земельные участки не должны располагаться в болотистой местности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крутых склонах холмов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(косогор),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краю оврагов.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капитальных объектов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земельные участки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рельефу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должны быть ровными, уклон не должен превышать 1%.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992"/>
        <w:jc w:val="both"/>
        <w:spacing w:before="0" w:after="0"/>
        <w:shd w:val="clear" w:color="ffffff" w:themeColor="background1" w:fill="ffffff" w:themeFill="background1"/>
        <w:tabs>
          <w:tab w:val="right" w:pos="9780" w:leader="none"/>
        </w:tabs>
        <w:rPr>
          <w:rFonts w:ascii="Times New Roman" w:hAnsi="Times New Roman" w:cs="Times New Roman"/>
          <w:b w:val="0"/>
          <w:bCs w:val="0"/>
          <w:color w:val="e36c0a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e36c0a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Через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 должны проходить ручьи и водоотводные канавы.</w:t>
      </w:r>
      <w:r>
        <w:rPr>
          <w:rFonts w:ascii="Times New Roman" w:hAnsi="Times New Roman" w:cs="Times New Roman"/>
          <w:b w:val="0"/>
          <w:bCs w:val="0"/>
          <w:color w:val="e36c0a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e36c0a"/>
          <w:sz w:val="26"/>
          <w:szCs w:val="26"/>
          <w:highlight w:val="none"/>
        </w:rPr>
      </w:r>
    </w:p>
    <w:p>
      <w:pPr>
        <w:ind w:left="0" w:right="0" w:firstLine="992"/>
        <w:jc w:val="both"/>
        <w:spacing w:before="0" w:after="0"/>
        <w:shd w:val="clear" w:color="ffffff" w:fill="ffffff"/>
        <w:rPr>
          <w:rFonts w:ascii="Calibri" w:hAnsi="Calibri" w:eastAsia="Calibri" w:cs="Calibri"/>
          <w:b w:val="0"/>
          <w:bCs w:val="0"/>
          <w:color w:val="e36c0a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 w:val="0"/>
          <w:bCs w:val="0"/>
          <w:color w:val="e36c0a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Земельные участки  не должны располагаться в лесном массиве. </w:t>
      </w:r>
      <w:r>
        <w:rPr>
          <w:rFonts w:ascii="Calibri" w:hAnsi="Calibri" w:eastAsia="Calibri" w:cs="Calibri"/>
          <w:b w:val="0"/>
          <w:bCs w:val="0"/>
          <w:color w:val="e36c0a"/>
          <w:sz w:val="26"/>
          <w:szCs w:val="26"/>
          <w:highlight w:val="none"/>
        </w:rPr>
      </w:r>
      <w:r>
        <w:rPr>
          <w:rFonts w:ascii="Calibri" w:hAnsi="Calibri" w:eastAsia="Calibri" w:cs="Calibri"/>
          <w:b w:val="0"/>
          <w:bCs w:val="0"/>
          <w:color w:val="e36c0a"/>
          <w:sz w:val="26"/>
          <w:szCs w:val="26"/>
          <w:highlight w:val="none"/>
        </w:rPr>
      </w:r>
    </w:p>
    <w:p>
      <w:pPr>
        <w:pStyle w:val="869"/>
        <w:ind w:left="0" w:right="0" w:firstLine="99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Земельные участки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капитальных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объектов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 должны располагаться в границах нормативных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расстояний зон с особыми условиями исп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ользования территорий промышленных объектов и производств соответствующего класса опасности, автозаправочных станций, нефтепроводов, железнодорожных путей, автомобильных дорог федерального значения, магистральных автомобильных дорог межрайонного значения,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отстойно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-разворотных площадок автомобильного транспорта, а также санитарных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разрывах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опасных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коммуникаций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(автомобильных, железнодорожных, трубопроводных и т.п.).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ind w:left="0" w:right="0" w:firstLine="99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земельному участку должен быть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 подъездной путь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покрытием, обеспечивающим круглогодичный доступ на земельный участок,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форма участка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должна позволять обеспечивать подъезд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пожарных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автомобилей к размещаемым на данном участке объектам в нормируемых расстояниях согласно противопожарным нормативам Российской Федерации в пределах участка.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992"/>
        <w:jc w:val="both"/>
        <w:spacing w:before="4" w:line="259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Земельный участок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капитальных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объектов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должен находиться в границах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водоохранных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зон, охранных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зон сетей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инженерно-технического обеспечения,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прибрежных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защитных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полос,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зон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затопления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подтопления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других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зон с особыми условиями использования территории (установленных в соответствии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действующим законодательством, либо обозначенных в документах территориального планирования, либо подлежащих установлению в связи с расположением, строительством или реконструкцией объектов), не допускающих строительство объектов социальной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границах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охранных зон объектов культурного наследия включенных в единый государственный реестр объектов культурного наследия, выявленных объектов культурного наследия, объектов археологического наследия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992"/>
        <w:jc w:val="both"/>
        <w:spacing w:before="4" w:line="259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случае, если строительство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(возведение)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объектов социальной инфраструктуры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будет осуществляться за счет средств областного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(или) федерального бюджета, на земельные участки должно быть зарегистрировано право собственности Новосибирской области и право постоянного (бессрочного) пользования профильного государственного учреждения Новосибирской области, которое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будет являться правообладателем планируемого к строительству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(возведению)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объекта социальной инфраструктуры.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4"/>
        <w:ind w:left="227" w:right="127" w:firstLine="686"/>
        <w:jc w:val="center"/>
        <w:spacing w:before="4" w:line="259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r/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</w:pPr>
    <w:fldSimple w:instr="PAGE \* MERGEFORMAT">
      <w:r>
        <w:t xml:space="preserve">1</w:t>
      </w:r>
    </w:fldSimple>
    <w:r/>
    <w:r/>
  </w:p>
  <w:p>
    <w:pPr>
      <w:pStyle w:val="7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No Spacing"/>
    <w:basedOn w:val="866"/>
    <w:uiPriority w:val="1"/>
    <w:qFormat/>
    <w:pPr>
      <w:spacing w:after="0" w:line="240" w:lineRule="auto"/>
    </w:pPr>
  </w:style>
  <w:style w:type="paragraph" w:styleId="870">
    <w:name w:val="List Paragraph"/>
    <w:basedOn w:val="866"/>
    <w:uiPriority w:val="34"/>
    <w:qFormat/>
    <w:pPr>
      <w:contextualSpacing/>
      <w:ind w:left="720"/>
    </w:pPr>
  </w:style>
  <w:style w:type="character" w:styleId="871" w:default="1">
    <w:name w:val="Default Paragraph Font"/>
    <w:uiPriority w:val="1"/>
    <w:semiHidden/>
    <w:unhideWhenUsed/>
  </w:style>
  <w:style w:type="table" w:styleId="872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73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4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2025-11-26T07:48:48Z</dcterms:modified>
</cp:coreProperties>
</file>