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954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Основные виды разрешенного использования земельных участков и объектов капитального строительства, которые могут быть выбраны при реализации решения о комплексном развитии незастроенной</w:t>
      </w:r>
      <w:r>
        <w:rPr>
          <w:b/>
          <w:sz w:val="28"/>
          <w:szCs w:val="28"/>
          <w:shd w:val="clear" w:color="auto" w:fill="ffffff"/>
        </w:rPr>
        <w:t xml:space="preserve"> территории в рамках проекта «Развитие Технопарка по ул. Тимакова», а также предельные параметры разрешенного строительства, реконструкции объектов капитального строительства в границах территории</w:t>
      </w:r>
      <w:r>
        <w:rPr>
          <w:b/>
          <w:sz w:val="28"/>
          <w:szCs w:val="28"/>
          <w:shd w:val="clear" w:color="auto" w:fill="ffffff"/>
        </w:rPr>
      </w:r>
      <w:r>
        <w:rPr>
          <w:b/>
          <w:sz w:val="28"/>
          <w:szCs w:val="28"/>
          <w:shd w:val="clear" w:color="auto" w:fill="ffffff"/>
        </w:rPr>
      </w:r>
    </w:p>
    <w:p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tbl>
      <w:tblPr>
        <w:tblW w:w="10568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3114"/>
        <w:gridCol w:w="6807"/>
      </w:tblGrid>
      <w:tr>
        <w:tblPrEx/>
        <w:trPr>
          <w:trHeight w:val="30"/>
        </w:trPr>
        <w:tc>
          <w:tcP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9921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виды разрешенного использования земельных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участков и объектов 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0"/>
        </w:trPr>
        <w:tc>
          <w:tcPr>
            <w:tcW w:w="647" w:type="dxa"/>
            <w:vAlign w:val="center"/>
            <w:vMerge w:val="continue"/>
            <w:textDirection w:val="lrTb"/>
            <w:noWrap w:val="false"/>
          </w:tcPr>
          <w:p>
            <w:pPr>
              <w:pStyle w:val="922"/>
              <w:ind w:left="-67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tcW w:w="3114" w:type="dxa"/>
            <w:vAlign w:val="center"/>
            <w:textDirection w:val="lrTb"/>
            <w:noWrap w:val="false"/>
          </w:tcPr>
          <w:p>
            <w:pPr>
              <w:pStyle w:val="922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вида разрешенного использования земельного участка (с указанием кода классификатора)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8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вида разрешенного использования объектов капитального строительства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0"/>
        </w:trPr>
        <w:tc>
          <w:tcPr>
            <w:tcW w:w="647" w:type="dxa"/>
            <w:vAlign w:val="center"/>
            <w:textDirection w:val="lrTb"/>
            <w:noWrap w:val="false"/>
          </w:tcPr>
          <w:p>
            <w:pPr>
              <w:pStyle w:val="922"/>
              <w:ind w:left="-6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14" w:type="dxa"/>
            <w:vAlign w:val="center"/>
            <w:textDirection w:val="lrTb"/>
            <w:noWrap w:val="false"/>
          </w:tcPr>
          <w:p>
            <w:pPr>
              <w:pStyle w:val="922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6807" w:type="dxa"/>
            <w:vAlign w:val="center"/>
            <w:textDirection w:val="lrTb"/>
            <w:noWrap w:val="false"/>
          </w:tcPr>
          <w:p>
            <w:pPr>
              <w:pStyle w:val="922"/>
              <w:ind w:firstLine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0"/>
        </w:trPr>
        <w:tc>
          <w:tcP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Хранение автотранспорта </w:t>
            </w:r>
            <w:hyperlink r:id="rId12" w:tooltip="consultantplus://offline/ref=95C4BFA68773DF14F219046D92EC41E676DE16F2429155CFF9B1907BE1586FE4B707A8CA37C667D730E2B818A390560D0C19468A6F1D9592MFe6J" w:history="1">
              <w:r>
                <w:rPr>
                  <w:color w:val="0000ff"/>
                  <w:sz w:val="28"/>
                  <w:szCs w:val="28"/>
                </w:rPr>
                <w:t xml:space="preserve">(2.7.1)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Гаражи, пристроенные гаражи, в том числе подземные, предназначенные для хранения автотранспорта, в том числе с разделением на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-места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коммунальных услуг </w:t>
            </w:r>
            <w:hyperlink r:id="rId13" w:tooltip="https://login.consultant.ru/link/?req=doc&amp;base=LAW&amp;n=504722&amp;dst=100116" w:history="1">
              <w:r>
                <w:rPr>
                  <w:color w:val="0000ff"/>
                  <w:sz w:val="28"/>
                  <w:szCs w:val="28"/>
                </w:rPr>
                <w:t xml:space="preserve">(3.1.1)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Объекты, обеспечивающие поставку воды, тепла, электричества,</w:t>
            </w:r>
            <w:r>
              <w:rPr>
                <w:sz w:val="28"/>
                <w:szCs w:val="28"/>
              </w:rPr>
              <w:t xml:space="preserve"> газа, отвод канализационных стоков, очистку и уборку данных объектов (котельные,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Административные здания организаций, обеспечивающих предоставление коммунальных услуг </w:t>
            </w:r>
            <w:hyperlink r:id="rId14" w:tooltip="https://login.consultant.ru/link/?req=doc&amp;base=LAW&amp;n=504722&amp;dst=100119" w:history="1">
              <w:r>
                <w:rPr>
                  <w:color w:val="0000ff"/>
                  <w:sz w:val="28"/>
                  <w:szCs w:val="28"/>
                </w:rPr>
                <w:t xml:space="preserve">(3.1.2)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Объекты, предназначенные для приема физических и юридических лиц в связи с предоставлением им коммунальных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Бытовое обслуживание </w:t>
            </w:r>
            <w:hyperlink r:id="rId15" w:tooltip="https://login.consultant.ru/link/?req=doc&amp;base=LAW&amp;n=504722&amp;dst=100137" w:history="1">
              <w:r>
                <w:rPr>
                  <w:color w:val="0000ff"/>
                  <w:sz w:val="28"/>
                  <w:szCs w:val="28"/>
                </w:rPr>
                <w:t xml:space="preserve">(3.3)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Объекты для оказания населению или организациям бытовых услуг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культурно-досуговой деятельности </w:t>
            </w:r>
            <w:hyperlink r:id="rId16" w:tooltip="https://login.consultant.ru/link/?req=doc&amp;base=LAW&amp;n=504722&amp;dst=100164" w:history="1">
              <w:r>
                <w:rPr>
                  <w:color w:val="0000ff"/>
                  <w:sz w:val="28"/>
                  <w:szCs w:val="28"/>
                </w:rPr>
                <w:t xml:space="preserve">(3.6.1)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для размещения музеев;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выставочные залы;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художественные галереи;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 культуры;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кинотеатры, кинозалы;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театры;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филармонии;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концертные залы;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планетарии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Государственное управление </w:t>
            </w:r>
            <w:hyperlink r:id="rId17" w:tooltip="https://login.consultant.ru/link/?req=doc&amp;base=LAW&amp;n=504722&amp;dst=100185" w:history="1">
              <w:r>
                <w:rPr>
                  <w:color w:val="0000ff"/>
                  <w:sz w:val="28"/>
                  <w:szCs w:val="28"/>
                </w:rPr>
                <w:t xml:space="preserve">(3.8.1)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</w:t>
            </w:r>
            <w:r>
              <w:rPr>
                <w:sz w:val="28"/>
                <w:szCs w:val="28"/>
              </w:rPr>
              <w:t xml:space="preserve">екты для размещения органов государственной власти,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научной деятельности </w:t>
            </w:r>
            <w:hyperlink r:id="rId18" w:tooltip="consultantplus://offline/ref=612F26C80E35E172AD0C977BBC3DEFAFCB322FB4C0406925A7CAF5083D6A9A6F68CA52BDA9047A439D7599DC4BFCAAC504EE2A909950F96DkEy6F" w:history="1">
              <w:r>
                <w:rPr>
                  <w:color w:val="0000ff"/>
                  <w:sz w:val="28"/>
                  <w:szCs w:val="28"/>
                </w:rPr>
                <w:t xml:space="preserve">(3.9)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для обеспечения научной деятельности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научных исследований </w:t>
            </w:r>
            <w:hyperlink r:id="rId19" w:tooltip="consultantplus://offline/ref=22700F43140B3E3AD61BAFE2D156177D494C0883B3CEB872A3BE427A598B019B26DC73578A77AC8A37E50E4AA697F65882EA347671D1242EOA11F" w:history="1">
              <w:r>
                <w:rPr>
                  <w:color w:val="0000ff"/>
                  <w:sz w:val="28"/>
                  <w:szCs w:val="28"/>
                </w:rPr>
                <w:t xml:space="preserve">(3.9.2)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для проведения научных изысканий, исследований и разработок;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научно-исследовательские и проектные институты;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научные центры;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инновационные центры;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государственные академии наук;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опытно-конструкторские центры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научных испытаний </w:t>
            </w:r>
            <w:hyperlink r:id="rId20" w:tooltip="consultantplus://offline/ref=AFE5871AB972F0677355D639483EA167A40D307A848A42382885CF58C55233F02F181105EAAAB7831ED6E4CB1677014E47BDAB5DB9D3F28CZ81EF" w:history="1">
              <w:r>
                <w:rPr>
                  <w:color w:val="0000ff"/>
                  <w:sz w:val="28"/>
                  <w:szCs w:val="28"/>
                </w:rPr>
                <w:t xml:space="preserve">(3.9.3)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для проведения изысканий, испытаний опытных промышленных образцов;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Деловое управление </w:t>
            </w:r>
            <w:hyperlink r:id="rId21" w:tooltip="consultantplus://offline/ref=95C4BFA68773DF14F219046D92EC41E676DE16F2429155CFF9B1907BE1586FE4B707A8CA37C664D632E2B818A390560D0C19468A6F1D9592MFe6J" w:history="1">
              <w:r>
                <w:rPr>
                  <w:color w:val="0000ff"/>
                  <w:sz w:val="28"/>
                  <w:szCs w:val="28"/>
                </w:rPr>
                <w:t xml:space="preserve">(4.1)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управленческой деятельности, не связанной с государственным или муниципальным управлением и оказанием услуг;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для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Рынки </w:t>
            </w:r>
            <w:hyperlink r:id="rId22" w:tooltip="https://login.consultant.ru/link/?req=doc&amp;base=LAW&amp;n=504722&amp;dst=100221" w:history="1">
              <w:r>
                <w:rPr>
                  <w:color w:val="0000ff"/>
                  <w:sz w:val="28"/>
                  <w:szCs w:val="28"/>
                </w:rPr>
                <w:t xml:space="preserve">(4.3)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для организации постоянной или временной торговли;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гаражи и (или) стоянки для автомобилей сотрудников и посетителей рынка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48"/>
        </w:trPr>
        <w:tc>
          <w:tcP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Магазины </w:t>
            </w:r>
            <w:hyperlink r:id="rId23" w:tooltip="https://login.consultant.ru/link/?req=doc&amp;base=LAW&amp;n=504722&amp;dst=100224" w:history="1">
              <w:r>
                <w:rPr>
                  <w:color w:val="0000ff"/>
                  <w:sz w:val="28"/>
                  <w:szCs w:val="28"/>
                </w:rPr>
                <w:t xml:space="preserve">(4.4)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Объекты для продажи товаров, торговая площадь которых составляет до 5000 кв. метров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Банковская и страховая деятельность </w:t>
            </w:r>
            <w:hyperlink r:id="rId24" w:tooltip="https://login.consultant.ru/link/?req=doc&amp;base=LAW&amp;n=504722&amp;dst=100227" w:history="1">
              <w:r>
                <w:rPr>
                  <w:color w:val="0000ff"/>
                  <w:sz w:val="28"/>
                  <w:szCs w:val="28"/>
                </w:rPr>
                <w:t xml:space="preserve">(4.5)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для размещения организаций, оказывающих банковские и страховые услуги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Общественное питание </w:t>
            </w:r>
            <w:hyperlink r:id="rId25" w:tooltip="https://login.consultant.ru/link/?req=doc&amp;base=LAW&amp;n=504722&amp;dst=100230" w:history="1">
              <w:r>
                <w:rPr>
                  <w:color w:val="0000ff"/>
                  <w:sz w:val="28"/>
                  <w:szCs w:val="28"/>
                </w:rPr>
                <w:t xml:space="preserve">(4.6)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Рестораны;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кафе;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столовые;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закусочные;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бары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Служебные гаражи </w:t>
            </w:r>
            <w:hyperlink r:id="rId26" w:tooltip="http://10.12.1.46/cons/cgi/online.cgi?req=doc&amp;base=LAW&amp;n=504722&amp;dst=100248&amp;field=134&amp;date=01.10.2025" w:history="1">
              <w:r>
                <w:rPr>
                  <w:rStyle w:val="923"/>
                  <w:rFonts w:ascii="Times New Roman" w:hAnsi="Times New Roman" w:eastAsia="Times New Roman" w:cs="Times New Roman"/>
                  <w:color w:val="0000ff"/>
                  <w:sz w:val="28"/>
                  <w:szCs w:val="28"/>
                  <w:u w:val="none"/>
                </w:rPr>
                <w:t xml:space="preserve">(4.9)</w:t>
                <w:br/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Гаражи, стоянки для хранения служебного автотранспорта, используемого в целях осуществления видов деятельности, предусмотренной видами разрешенного использования «общественное использование объектов капитального строительства (3.0)», «предпринимательство (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4.0)»;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стоянка и хранение транспортных средств общего пользования, в том числе депо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придорожного сервиса </w:t>
            </w:r>
            <w:hyperlink r:id="rId27" w:tooltip="https://login.consultant.ru/link/?req=doc&amp;base=LAW&amp;n=504722&amp;dst=100251" w:history="1">
              <w:r>
                <w:rPr>
                  <w:color w:val="0000ff"/>
                  <w:sz w:val="28"/>
                  <w:szCs w:val="28"/>
                </w:rPr>
                <w:t xml:space="preserve">(4.9.1)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дорожного сервиса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Склады </w:t>
            </w:r>
            <w:hyperlink r:id="rId28" w:tooltip="http://10.12.1.46/cons/cgi/online.cgi?req=doc&amp;base=LAW&amp;n=504722&amp;dst=100347&amp;field=134&amp;date=01.10.2025" w:history="1">
              <w:r>
                <w:rPr>
                  <w:rStyle w:val="923"/>
                  <w:rFonts w:ascii="Times New Roman" w:hAnsi="Times New Roman" w:eastAsia="Times New Roman" w:cs="Times New Roman"/>
                  <w:color w:val="0000ff"/>
                  <w:sz w:val="28"/>
                  <w:szCs w:val="28"/>
                  <w:u w:val="none"/>
                </w:rPr>
                <w:t xml:space="preserve">(6.9)</w:t>
                <w:br/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Склады;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продовольственные склады, за исключением железнодорожных перевалочных складов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Складские площадки </w:t>
            </w:r>
            <w:hyperlink r:id="rId29" w:tooltip="http://10.12.1.46/cons/cgi/online.cgi?req=doc&amp;base=LAW&amp;n=504722&amp;dst=100350&amp;field=134&amp;date=01.10.2025" w:history="1">
              <w:r>
                <w:rPr>
                  <w:rStyle w:val="923"/>
                  <w:rFonts w:ascii="Times New Roman" w:hAnsi="Times New Roman" w:eastAsia="Times New Roman" w:cs="Times New Roman"/>
                  <w:color w:val="0000ff"/>
                  <w:sz w:val="28"/>
                  <w:szCs w:val="28"/>
                  <w:u w:val="none"/>
                </w:rPr>
                <w:t xml:space="preserve">(6.9.1)</w:t>
                <w:br/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Складские площадки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Научно-производственная деятельность </w:t>
            </w:r>
            <w:hyperlink r:id="rId30" w:tooltip="consultantplus://offline/ref=25734C9CAB6DE26625F749934760A2B79924284B5C4AFC6F01F1D71F3C0D08876B2CAE1C7555D338074CBCE8306F361447323EB7AC245652A2kCJ" w:history="1">
              <w:r>
                <w:rPr>
                  <w:color w:val="0000ff"/>
                  <w:sz w:val="28"/>
                  <w:szCs w:val="28"/>
                </w:rPr>
                <w:t xml:space="preserve">(6.12)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Технологические парки;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промышленные парки;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агропромышленные парки;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бизнес-инкубаторы.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Автомобильный транспорт </w:t>
            </w:r>
            <w:hyperlink r:id="rId31" w:tooltip="consultantplus://offline/ref=95C4BFA68773DF14F219046D92EC41E676DE16F2429155CFF9B1907BE1586FE4B707A8CA37C665D033E2B818A390560D0C19468A6F1D9592MFe6J" w:history="1">
              <w:r>
                <w:rPr>
                  <w:color w:val="0000ff"/>
                  <w:sz w:val="28"/>
                  <w:szCs w:val="28"/>
                </w:rPr>
                <w:t xml:space="preserve">(7.2)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автомобильного транспорта.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Трубопроводный транспорт </w:t>
            </w:r>
            <w:hyperlink r:id="rId32" w:tooltip="http://10.12.1.46/cons/cgi/online.cgi?req=doc&amp;base=LAW&amp;n=504722&amp;dst=100392&amp;field=134&amp;date=01.10.2025" w:history="1">
              <w:r>
                <w:rPr>
                  <w:rStyle w:val="923"/>
                  <w:rFonts w:ascii="Times New Roman" w:hAnsi="Times New Roman" w:eastAsia="Times New Roman" w:cs="Times New Roman"/>
                  <w:color w:val="0000ff"/>
                  <w:sz w:val="28"/>
                  <w:szCs w:val="28"/>
                  <w:u w:val="none"/>
                </w:rPr>
                <w:t xml:space="preserve">(7.5)</w:t>
                <w:br/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Нефтепроводы;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водопроводы;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газопроводы;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иные трубопроводы, а также иные объекты для эксплуатации трубопроводов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textDirection w:val="lrTb"/>
            <w:noWrap w:val="false"/>
          </w:tcPr>
          <w:p>
            <w:pPr>
              <w:jc w:val="both"/>
              <w:rPr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Земельные участки (территории) общего пользования </w:t>
            </w:r>
            <w:hyperlink r:id="rId33" w:tooltip="consultantplus://offline/ref=95C4BFA68773DF14F219046D92EC41E676DE16F2429155CFF9B1907BE1586FE4B707A8CA37C662D232E2B818A390560D0C19468A6F1D9592MFe6J" w:history="1">
              <w:r>
                <w:rPr>
                  <w:color w:val="0000ff"/>
                  <w:sz w:val="28"/>
                  <w:szCs w:val="28"/>
                </w:rPr>
                <w:t xml:space="preserve">(12.0)</w:t>
              </w:r>
            </w:hyperlink>
            <w:r>
              <w:rPr>
                <w:color w:val="0000ff"/>
                <w:sz w:val="28"/>
                <w:szCs w:val="28"/>
              </w:rPr>
            </w:r>
            <w:r>
              <w:rPr>
                <w:color w:val="0000ff"/>
                <w:sz w:val="28"/>
                <w:szCs w:val="28"/>
              </w:rPr>
            </w:r>
          </w:p>
        </w:tc>
        <w:tc>
          <w:tcPr>
            <w:tcW w:w="680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улично-дорожной сети;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благоустройства территории.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Улично-дорожная сеть </w:t>
            </w:r>
            <w:hyperlink r:id="rId34" w:tooltip="consultantplus://offline/ref=95C4BFA68773DF14F219046D92EC41E676DE16F2429155CFF9B1907BE1586FE4B707A8CA37C662D23FE2B818A390560D0C19468A6F1D9592MFe6J" w:history="1">
              <w:r>
                <w:rPr>
                  <w:color w:val="0000ff"/>
                  <w:sz w:val="28"/>
                  <w:szCs w:val="28"/>
                </w:rPr>
                <w:t xml:space="preserve">(12.0.1)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улично-дорожной сети;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автомобильные дороги;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трамвайные пути;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пешеходные тротуары; пешеходные переходы; площади; бульвары; набережные; проезды; велодорожки; объекты </w:t>
            </w:r>
            <w:r>
              <w:rPr>
                <w:sz w:val="28"/>
                <w:szCs w:val="28"/>
              </w:rPr>
              <w:t xml:space="preserve">велотранспортной</w:t>
            </w:r>
            <w:r>
              <w:rPr>
                <w:sz w:val="28"/>
                <w:szCs w:val="28"/>
              </w:rPr>
              <w:t xml:space="preserve"> инфраструктуры; объекты инженерной инфраструктуры; придорожные ст</w:t>
            </w:r>
            <w:r>
              <w:rPr>
                <w:sz w:val="28"/>
                <w:szCs w:val="28"/>
              </w:rPr>
              <w:t xml:space="preserve">оянки (парковки) транспортных средств в границах городских улиц и дорог, за исключением предусмотренных видами разрешенного использования с кодами «хранение автотранспорта (2.7.1)», «служебные гаражи (4.9)», «стоянки транспорта общего пользования (7.2.3)».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11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территории </w:t>
            </w:r>
            <w:hyperlink r:id="rId35" w:tooltip="consultantplus://offline/ref=95C4BFA68773DF14F219046D92EC41E676DE16F2429155CFF9B1907BE1586FE4B707A8CA37C662D136E2B818A390560D0C19468A6F1D9592MFe6J" w:history="1">
              <w:r>
                <w:rPr>
                  <w:color w:val="0000ff"/>
                  <w:sz w:val="28"/>
                  <w:szCs w:val="28"/>
                </w:rPr>
                <w:t xml:space="preserve">(12.0.2)</w:t>
              </w:r>
            </w:hyperlink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680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Объекты благоустройства территории;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малые архитектурные формы;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общественные туалеты.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/>
        <w:jc w:val="both"/>
        <w:spacing w:after="200" w:line="276" w:lineRule="auto"/>
        <w:rPr>
          <w:color w:val="a6a6a6" w:themeColor="background1" w:themeShade="A6"/>
          <w:sz w:val="28"/>
          <w:szCs w:val="28"/>
        </w:rPr>
      </w:pPr>
      <w:r>
        <w:rPr>
          <w:color w:val="a6a6a6" w:themeColor="background1" w:themeShade="A6"/>
          <w:sz w:val="28"/>
          <w:szCs w:val="28"/>
        </w:rPr>
      </w:r>
      <w:r>
        <w:rPr>
          <w:color w:val="a6a6a6" w:themeColor="background1" w:themeShade="A6"/>
          <w:sz w:val="28"/>
          <w:szCs w:val="28"/>
        </w:rPr>
      </w:r>
      <w:r>
        <w:rPr>
          <w:color w:val="a6a6a6" w:themeColor="background1" w:themeShade="A6"/>
          <w:sz w:val="28"/>
          <w:szCs w:val="28"/>
        </w:rPr>
      </w:r>
    </w:p>
    <w:p>
      <w:pPr>
        <w:contextualSpacing/>
        <w:jc w:val="both"/>
        <w:spacing w:after="200" w:line="276" w:lineRule="auto"/>
        <w:rPr>
          <w:color w:val="a6a6a6" w:themeColor="background1" w:themeShade="A6"/>
          <w:sz w:val="28"/>
          <w:szCs w:val="28"/>
        </w:rPr>
      </w:pPr>
      <w:r>
        <w:rPr>
          <w:color w:val="a6a6a6" w:themeColor="background1" w:themeShade="A6"/>
          <w:sz w:val="28"/>
          <w:szCs w:val="28"/>
        </w:rPr>
      </w:r>
      <w:r>
        <w:rPr>
          <w:color w:val="a6a6a6" w:themeColor="background1" w:themeShade="A6"/>
          <w:sz w:val="28"/>
          <w:szCs w:val="28"/>
        </w:rPr>
      </w:r>
      <w:r>
        <w:rPr>
          <w:color w:val="a6a6a6" w:themeColor="background1" w:themeShade="A6"/>
          <w:sz w:val="28"/>
          <w:szCs w:val="28"/>
        </w:rPr>
      </w:r>
    </w:p>
    <w:tbl>
      <w:tblPr>
        <w:tblW w:w="10405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20"/>
        <w:gridCol w:w="5791"/>
        <w:gridCol w:w="3947"/>
      </w:tblGrid>
      <w:tr>
        <w:tblPrEx/>
        <w:trPr/>
        <w:tc>
          <w:tcP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ind w:left="0" w:right="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22"/>
              <w:ind w:left="0" w:right="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97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Предельные параметры разрешенного строительства, реконструкции объектов капитального строительства в границах территории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vMerge w:val="continue"/>
            <w:textDirection w:val="lrTb"/>
            <w:noWrap w:val="false"/>
          </w:tcPr>
          <w:p>
            <w:pPr>
              <w:pStyle w:val="922"/>
              <w:ind w:left="-271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</w:tc>
        <w:tc>
          <w:tcPr>
            <w:gridSpan w:val="2"/>
            <w:tcW w:w="58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предельного параметра разрешенного строительства, реконструкции объектов капитального строительства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предельного параметра разрешенного строительства, реконструкции объектов капитального строительства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pStyle w:val="922"/>
              <w:ind w:left="0" w:right="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581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4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pStyle w:val="922"/>
              <w:ind w:left="0" w:right="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581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Предельное количество этажей зданий, строений, сооружений, планируемых к строительству в рамках комплексного развития территорий.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667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ind w:left="0" w:right="5"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</w:p>
        </w:tc>
        <w:tc>
          <w:tcPr>
            <w:tcW w:w="579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Предельный максимальный коэффициент плотности застройки земельного участка для объектов капитального строительства с видом разрешенного использования «объекты для проведения научных изысканий, исследований и разработок»;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«научно-исследовательские и проектн</w:t>
            </w:r>
            <w:r>
              <w:rPr>
                <w:sz w:val="28"/>
                <w:szCs w:val="28"/>
              </w:rPr>
              <w:t xml:space="preserve">ые институты»;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«научные центры»;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«инновационные центры»;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«государственные академии наук»;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«опытно-конструкторские центры»; «объекты для проведения изысканий, испытаний опытных промышленных образцов»;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«объекты для размещения организаций, осуществляющих науч</w:t>
            </w:r>
            <w:r>
              <w:rPr>
                <w:sz w:val="28"/>
                <w:szCs w:val="28"/>
              </w:rPr>
              <w:t xml:space="preserve">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растительного и животного мира»; </w:t>
            </w:r>
            <w:r>
              <w:rPr>
                <w:sz w:val="28"/>
                <w:szCs w:val="28"/>
              </w:rPr>
              <w:t xml:space="preserve">«технологические парки»; </w:t>
            </w:r>
            <w:r>
              <w:rPr>
                <w:sz w:val="28"/>
                <w:szCs w:val="28"/>
              </w:rPr>
              <w:t xml:space="preserve">«промышленные парки»; </w:t>
            </w:r>
            <w:r>
              <w:rPr>
                <w:sz w:val="28"/>
                <w:szCs w:val="28"/>
              </w:rPr>
              <w:t xml:space="preserve">«агропромышл</w:t>
            </w:r>
            <w:r>
              <w:rPr>
                <w:sz w:val="28"/>
                <w:szCs w:val="28"/>
              </w:rPr>
              <w:t xml:space="preserve">енные парки»; </w:t>
            </w:r>
            <w:r>
              <w:rPr>
                <w:sz w:val="28"/>
                <w:szCs w:val="28"/>
              </w:rPr>
              <w:t xml:space="preserve">«бизнес-инкубаторы».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1,5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gridSpan w:val="2"/>
            <w:tcW w:w="667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ind w:left="0" w:right="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579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Предельный </w:t>
            </w:r>
            <w:r>
              <w:rPr>
                <w:sz w:val="28"/>
                <w:szCs w:val="28"/>
              </w:rPr>
              <w:t xml:space="preserve">максимальный коэффициент плотности застройки земельного участка для объектов капитального строительства с видом разрешенного использования «объекты управленческой деятельности, не связанной с государственным или муниципальным управлением и оказанием услуг;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  <w:p>
            <w:pPr>
              <w:jc w:val="both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объекты для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деятельности)», а также объекты для размещения организаций, оказыв</w:t>
            </w:r>
            <w:r>
              <w:rPr>
                <w:sz w:val="28"/>
                <w:szCs w:val="28"/>
              </w:rPr>
              <w:t xml:space="preserve">ающих банковские и страховые услуги.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39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pStyle w:val="922"/>
              <w:ind w:left="0" w:right="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581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Предельное минимальное количество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 для стоянок индивидуальных транспортных средств: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9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textDirection w:val="lrTb"/>
            <w:noWrap w:val="false"/>
          </w:tcPr>
          <w:p>
            <w:pPr>
              <w:pStyle w:val="922"/>
              <w:ind w:left="0" w:right="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581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для объектов капитального строительства с видом разрешенного использования </w:t>
            </w:r>
            <w:r>
              <w:rPr>
                <w:sz w:val="28"/>
                <w:szCs w:val="28"/>
                <w:highlight w:val="white"/>
              </w:rPr>
              <w:t xml:space="preserve">«</w:t>
            </w:r>
            <w:r>
              <w:rPr>
                <w:sz w:val="28"/>
                <w:szCs w:val="28"/>
                <w:highlight w:val="white"/>
              </w:rPr>
              <w:t xml:space="preserve">объекты, обеспечивающие поставку воды, тепла, электричества, газа, отвод канализационных стоков, очистку и уборку данных объектов»</w:t>
            </w:r>
            <w:r>
              <w:rPr>
                <w:sz w:val="28"/>
                <w:szCs w:val="28"/>
                <w:highlight w:val="white"/>
              </w:rPr>
              <w:t xml:space="preserve">,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«объекты для прием</w:t>
            </w:r>
            <w:r>
              <w:rPr>
                <w:sz w:val="28"/>
                <w:szCs w:val="28"/>
                <w:highlight w:val="white"/>
              </w:rPr>
              <w:t xml:space="preserve">а физических и юридических лиц в связи с предоставлением им коммунальных услуг»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«объекты для оказания населению или организациям бытовых услуг»,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«</w:t>
            </w:r>
            <w:r>
              <w:rPr>
                <w:sz w:val="28"/>
                <w:szCs w:val="28"/>
                <w:highlight w:val="white"/>
              </w:rPr>
              <w:t xml:space="preserve">объекты для размещения органов государственной власти, государствен</w:t>
            </w:r>
            <w:r>
              <w:rPr>
                <w:sz w:val="28"/>
                <w:szCs w:val="28"/>
                <w:highlight w:val="white"/>
              </w:rPr>
              <w:t xml:space="preserve">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услуги»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бъекты для обеспечения научной деятельности»,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бъекты для проведения научных изысканий, исследований и разработок»,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научно-исследовательские и проектные институты»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«объекты управленческой деятельности, не связанной с государственным или муниципальным управлением и оказанием услуг»</w:t>
            </w:r>
            <w:r>
              <w:rPr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«объекты для обеспечения совершения сделок, не </w:t>
            </w:r>
            <w:r>
              <w:rPr>
                <w:sz w:val="28"/>
                <w:szCs w:val="28"/>
                <w:highlight w:val="white"/>
              </w:rPr>
              <w:t xml:space="preserve">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деятельности)»</w:t>
            </w:r>
            <w:r>
              <w:rPr>
                <w:sz w:val="28"/>
                <w:szCs w:val="28"/>
                <w:highlight w:val="white"/>
              </w:rPr>
              <w:t xml:space="preserve">,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«</w:t>
            </w:r>
            <w:r>
              <w:rPr>
                <w:sz w:val="28"/>
                <w:szCs w:val="28"/>
                <w:highlight w:val="white"/>
              </w:rPr>
              <w:t xml:space="preserve">объекты для размещения организаций, оказывающих банковские и страховые услуги»</w:t>
            </w:r>
            <w:r>
              <w:rPr>
                <w:sz w:val="28"/>
                <w:szCs w:val="28"/>
                <w:highlight w:val="white"/>
              </w:rPr>
              <w:t xml:space="preserve">,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«научные центры»</w:t>
            </w:r>
            <w:r>
              <w:rPr>
                <w:sz w:val="28"/>
                <w:szCs w:val="28"/>
                <w:highlight w:val="white"/>
              </w:rPr>
              <w:t xml:space="preserve">,</w:t>
            </w:r>
            <w:r>
              <w:rPr>
                <w:sz w:val="28"/>
                <w:szCs w:val="28"/>
                <w:highlight w:val="white"/>
              </w:rPr>
              <w:t xml:space="preserve"> «инновационные центры»,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«государственные академии наук»,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«опытно-конструкторские центры»</w:t>
            </w:r>
            <w:r>
              <w:rPr>
                <w:sz w:val="28"/>
                <w:szCs w:val="28"/>
                <w:highlight w:val="white"/>
              </w:rPr>
              <w:t xml:space="preserve">, «объекты для проведения изысканий, испытани</w:t>
            </w:r>
            <w:r>
              <w:rPr>
                <w:sz w:val="28"/>
                <w:szCs w:val="28"/>
                <w:highlight w:val="white"/>
              </w:rPr>
              <w:t xml:space="preserve">й опытных промышленных образцов»</w:t>
            </w:r>
            <w:r>
              <w:rPr>
                <w:sz w:val="28"/>
                <w:szCs w:val="28"/>
                <w:highlight w:val="white"/>
              </w:rPr>
              <w:t xml:space="preserve">,</w:t>
            </w:r>
            <w:r>
              <w:rPr>
                <w:sz w:val="28"/>
                <w:szCs w:val="28"/>
                <w:highlight w:val="white"/>
              </w:rPr>
              <w:t xml:space="preserve"> «</w:t>
            </w:r>
            <w:r>
              <w:rPr>
                <w:sz w:val="28"/>
                <w:szCs w:val="28"/>
                <w:highlight w:val="white"/>
              </w:rPr>
              <w:t xml:space="preserve">объекты для размещения организаций, осуществляющих научные изыскания, исследования и разработки, научные и селекционные работы, ведение сельского и лесного хозяйства для получения ценных с научной точки зрения образцов ра</w:t>
            </w:r>
            <w:r>
              <w:rPr>
                <w:sz w:val="28"/>
                <w:szCs w:val="28"/>
                <w:highlight w:val="white"/>
              </w:rPr>
              <w:t xml:space="preserve">стительного и животного мира»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94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 xml:space="preserve">машино</w:t>
            </w:r>
            <w:r>
              <w:rPr>
                <w:sz w:val="28"/>
                <w:szCs w:val="28"/>
              </w:rPr>
              <w:t xml:space="preserve">-место на 60 кв. метров общей площади (без учета помещений, занимаемых автостоянкой, помещений ли</w:t>
            </w:r>
            <w:r>
              <w:rPr>
                <w:sz w:val="28"/>
                <w:szCs w:val="28"/>
              </w:rPr>
              <w:t xml:space="preserve">фтовых шахт, лестничных клеток);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958"/>
        </w:trPr>
        <w:tc>
          <w:tcP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ind w:left="0" w:right="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581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для объектов капитального строительства с видом разрешенного использования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«рестораны», «кафе», «столовые», «закусочные», «бары»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9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 машино-места на 100 кв. метров общей площади (без учета помещений, занимаемых автостоянкой, помещений лифтовых шахт, лестни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чных клеток)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ind w:left="0" w:right="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581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для объектов капитального строительства с видом разрешенного использования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Объекты для продажи товаров, торговая площадь которых составляет до 5000 кв. метров»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для объектов, торговая площадь которых составляет до 400 кв. метров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39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 машино-место на 80 кв. метров общей площади (без учета помещений, занимаемых автостоянкой, помещений лифтовых шахт, лестничных клеток)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ind w:left="0" w:right="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5811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для объектов капитального строительства с видом разрешенного использования 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Объекты для продажи товаров, торговая площадь которых составляет до 5000 кв. метров»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2"/>
              </w:rPr>
              <w:t xml:space="preserve">для объектов, торговая площадь которых составляет от 401 кв. метра до 1000 кв. метров</w:t>
            </w:r>
            <w:r>
              <w:rPr>
                <w:sz w:val="28"/>
                <w:szCs w:val="22"/>
              </w:rPr>
            </w:r>
            <w:r>
              <w:rPr>
                <w:sz w:val="28"/>
                <w:szCs w:val="22"/>
              </w:rPr>
            </w:r>
          </w:p>
        </w:tc>
        <w:tc>
          <w:tcPr>
            <w:tcW w:w="39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машино-места на 80 кв. метров общей площади (без учета помещений, занимаемых автостоянкой, помещений лифтовых шахт, лестничных клеток)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647" w:type="dxa"/>
            <w:vAlign w:val="center"/>
            <w:vMerge w:val="restart"/>
            <w:textDirection w:val="lrTb"/>
            <w:noWrap w:val="false"/>
          </w:tcPr>
          <w:p>
            <w:pPr>
              <w:pStyle w:val="922"/>
              <w:ind w:left="0" w:right="5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5811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д</w:t>
            </w:r>
            <w:r>
              <w:rPr>
                <w:sz w:val="28"/>
                <w:szCs w:val="28"/>
                <w:highlight w:val="white"/>
              </w:rPr>
              <w:t xml:space="preserve">ля объектов капитального строительства с видом разрешенного использования «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выставочные залы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, </w:t>
            </w:r>
            <w:r>
              <w:rPr>
                <w:sz w:val="28"/>
                <w:szCs w:val="28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Объекты для продажи товаров, торговая площадь которых составляет до 5000 кв. метров»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для объектов, торговая площадь которых составляет от 1001 кв. метра до 5000 кв. метров,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394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машино-места на 100 кв. метров общей площади (без учета помещений, занимаемых автостоянкой, помещений лифтовых шахт, лестничных клеток)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922"/>
        <w:ind w:right="80"/>
        <w:jc w:val="both"/>
        <w:tabs>
          <w:tab w:val="left" w:pos="2398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22"/>
        <w:ind w:right="80"/>
        <w:jc w:val="both"/>
        <w:tabs>
          <w:tab w:val="left" w:pos="2398" w:leader="none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922"/>
        <w:ind w:right="80"/>
        <w:jc w:val="center"/>
        <w:tabs>
          <w:tab w:val="left" w:pos="2398" w:leader="none"/>
        </w:tabs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cs="Times New Roman"/>
          <w:sz w:val="32"/>
          <w:szCs w:val="32"/>
        </w:rPr>
      </w:r>
      <w:r/>
      <w:r>
        <w:rPr>
          <w:rFonts w:hint="default" w:ascii="Times New Roman" w:hAnsi="Times New Roman" w:eastAsia="Times New Roman" w:cs="Times New Roman"/>
          <w:sz w:val="32"/>
          <w:szCs w:val="32"/>
        </w:rPr>
        <w:t xml:space="preserve">_</w:t>
      </w:r>
      <w:r/>
      <w:r>
        <w:rPr>
          <w:rFonts w:ascii="Times New Roman" w:hAnsi="Times New Roman" w:cs="Times New Roman"/>
          <w:sz w:val="32"/>
          <w:szCs w:val="32"/>
        </w:rPr>
      </w:r>
      <w:r/>
      <w:r>
        <w:rPr>
          <w:rFonts w:hint="default" w:ascii="Times New Roman" w:hAnsi="Times New Roman" w:eastAsia="Times New Roman" w:cs="Times New Roman"/>
          <w:sz w:val="32"/>
          <w:szCs w:val="32"/>
        </w:rPr>
        <w:t xml:space="preserve">_</w:t>
      </w:r>
      <w:r/>
      <w:r>
        <w:rPr>
          <w:rFonts w:ascii="Times New Roman" w:hAnsi="Times New Roman" w:cs="Times New Roman"/>
          <w:sz w:val="32"/>
          <w:szCs w:val="32"/>
        </w:rPr>
      </w:r>
      <w:r/>
      <w:r>
        <w:rPr>
          <w:rFonts w:hint="default" w:ascii="Times New Roman" w:hAnsi="Times New Roman" w:eastAsia="Times New Roman" w:cs="Times New Roman"/>
          <w:sz w:val="32"/>
          <w:szCs w:val="32"/>
        </w:rPr>
        <w:t xml:space="preserve">_</w:t>
      </w:r>
      <w:r/>
      <w:r>
        <w:rPr>
          <w:rFonts w:ascii="Times New Roman" w:hAnsi="Times New Roman" w:cs="Times New Roman"/>
          <w:sz w:val="32"/>
          <w:szCs w:val="32"/>
        </w:rPr>
      </w:r>
      <w:r/>
      <w:r>
        <w:rPr>
          <w:rFonts w:hint="default" w:ascii="Times New Roman" w:hAnsi="Times New Roman" w:eastAsia="Times New Roman" w:cs="Times New Roman"/>
          <w:sz w:val="32"/>
          <w:szCs w:val="32"/>
        </w:rPr>
        <w:t xml:space="preserve">_</w:t>
      </w:r>
      <w:r/>
      <w:r>
        <w:rPr>
          <w:rFonts w:ascii="Times New Roman" w:hAnsi="Times New Roman" w:cs="Times New Roman"/>
          <w:sz w:val="32"/>
          <w:szCs w:val="32"/>
        </w:rPr>
      </w:r>
      <w:r/>
      <w:r>
        <w:rPr>
          <w:rFonts w:hint="default" w:ascii="Times New Roman" w:hAnsi="Times New Roman" w:eastAsia="Times New Roman" w:cs="Times New Roman"/>
          <w:sz w:val="32"/>
          <w:szCs w:val="32"/>
        </w:rPr>
        <w:t xml:space="preserve">_</w:t>
      </w:r>
      <w:r/>
      <w:r>
        <w:rPr>
          <w:rFonts w:ascii="Times New Roman" w:hAnsi="Times New Roman" w:cs="Times New Roman"/>
          <w:sz w:val="32"/>
          <w:szCs w:val="32"/>
        </w:rPr>
      </w:r>
      <w:r/>
      <w:r>
        <w:rPr>
          <w:rFonts w:hint="default" w:ascii="Times New Roman" w:hAnsi="Times New Roman" w:eastAsia="Times New Roman" w:cs="Times New Roman"/>
          <w:sz w:val="32"/>
          <w:szCs w:val="32"/>
        </w:rPr>
        <w:t xml:space="preserve">_</w:t>
      </w:r>
      <w:r/>
      <w:r>
        <w:rPr>
          <w:rFonts w:ascii="Times New Roman" w:hAnsi="Times New Roman" w:cs="Times New Roman"/>
          <w:sz w:val="32"/>
          <w:szCs w:val="32"/>
        </w:rPr>
      </w:r>
      <w:r/>
      <w:r>
        <w:rPr>
          <w:rFonts w:hint="default" w:ascii="Times New Roman" w:hAnsi="Times New Roman" w:eastAsia="Times New Roman" w:cs="Times New Roman"/>
          <w:sz w:val="32"/>
          <w:szCs w:val="32"/>
        </w:rPr>
        <w:t xml:space="preserve">_</w:t>
      </w:r>
      <w:r/>
      <w:r>
        <w:rPr>
          <w:rFonts w:ascii="Times New Roman" w:hAnsi="Times New Roman" w:cs="Times New Roman"/>
          <w:sz w:val="32"/>
          <w:szCs w:val="32"/>
        </w:rPr>
      </w:r>
      <w:r/>
      <w:r>
        <w:rPr>
          <w:rFonts w:hint="default" w:ascii="Times New Roman" w:hAnsi="Times New Roman" w:eastAsia="Times New Roman" w:cs="Times New Roman"/>
          <w:sz w:val="32"/>
          <w:szCs w:val="32"/>
        </w:rPr>
        <w:t xml:space="preserve">_</w:t>
      </w:r>
      <w:r/>
      <w:r>
        <w:rPr>
          <w:rFonts w:ascii="Times New Roman" w:hAnsi="Times New Roman" w:cs="Times New Roman"/>
          <w:sz w:val="32"/>
          <w:szCs w:val="32"/>
        </w:rPr>
      </w:r>
      <w:r/>
      <w:r>
        <w:rPr>
          <w:rFonts w:hint="default" w:ascii="Times New Roman" w:hAnsi="Times New Roman" w:eastAsia="Times New Roman" w:cs="Times New Roman"/>
          <w:sz w:val="32"/>
          <w:szCs w:val="32"/>
        </w:rPr>
        <w:t xml:space="preserve">_</w:t>
      </w:r>
      <w:r/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  <w:highlight w:val="none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851" w:bottom="709" w:left="567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jc w:val="center"/>
    </w:pPr>
    <w:fldSimple w:instr="PAGE \* MERGEFORMAT">
      <w:r>
        <w:t xml:space="preserve">1</w:t>
      </w:r>
    </w:fldSimple>
    <w:r/>
    <w:r/>
  </w:p>
  <w:p>
    <w:pPr>
      <w:pStyle w:val="8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920"/>
      </w:rPr>
      <w:framePr w:wrap="around" w:vAnchor="text" w:hAnchor="margin" w:xAlign="center" w:y="1"/>
    </w:pPr>
    <w:r>
      <w:rPr>
        <w:rStyle w:val="920"/>
      </w:rPr>
      <w:fldChar w:fldCharType="begin"/>
    </w:r>
    <w:r>
      <w:rPr>
        <w:rStyle w:val="920"/>
      </w:rPr>
      <w:instrText xml:space="preserve">PAGE  </w:instrText>
    </w:r>
    <w:r>
      <w:rPr>
        <w:rStyle w:val="920"/>
      </w:rPr>
      <w:fldChar w:fldCharType="end"/>
    </w:r>
    <w:r>
      <w:rPr>
        <w:rStyle w:val="920"/>
      </w:rPr>
    </w:r>
    <w:r>
      <w:rPr>
        <w:rStyle w:val="920"/>
      </w:rPr>
    </w:r>
  </w:p>
  <w:p>
    <w:pPr>
      <w:pStyle w:val="89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Title Char"/>
    <w:basedOn w:val="720"/>
    <w:link w:val="733"/>
    <w:uiPriority w:val="10"/>
    <w:rPr>
      <w:sz w:val="48"/>
      <w:szCs w:val="48"/>
    </w:rPr>
  </w:style>
  <w:style w:type="character" w:styleId="705">
    <w:name w:val="Subtitle Char"/>
    <w:basedOn w:val="720"/>
    <w:link w:val="735"/>
    <w:uiPriority w:val="11"/>
    <w:rPr>
      <w:sz w:val="24"/>
      <w:szCs w:val="24"/>
    </w:rPr>
  </w:style>
  <w:style w:type="character" w:styleId="706">
    <w:name w:val="Quote Char"/>
    <w:link w:val="737"/>
    <w:uiPriority w:val="29"/>
    <w:rPr>
      <w:i/>
    </w:rPr>
  </w:style>
  <w:style w:type="character" w:styleId="707">
    <w:name w:val="Intense Quote Char"/>
    <w:link w:val="739"/>
    <w:uiPriority w:val="30"/>
    <w:rPr>
      <w:i/>
    </w:rPr>
  </w:style>
  <w:style w:type="character" w:styleId="708">
    <w:name w:val="Footnote Text Char"/>
    <w:link w:val="870"/>
    <w:uiPriority w:val="99"/>
    <w:rPr>
      <w:sz w:val="18"/>
    </w:rPr>
  </w:style>
  <w:style w:type="character" w:styleId="709">
    <w:name w:val="Endnote Text Char"/>
    <w:link w:val="873"/>
    <w:uiPriority w:val="99"/>
    <w:rPr>
      <w:sz w:val="20"/>
    </w:rPr>
  </w:style>
  <w:style w:type="paragraph" w:styleId="710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11">
    <w:name w:val="Heading 1"/>
    <w:basedOn w:val="710"/>
    <w:next w:val="710"/>
    <w:link w:val="887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12">
    <w:name w:val="Heading 2"/>
    <w:basedOn w:val="710"/>
    <w:next w:val="710"/>
    <w:link w:val="888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13">
    <w:name w:val="Heading 3"/>
    <w:basedOn w:val="710"/>
    <w:next w:val="710"/>
    <w:link w:val="889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14">
    <w:name w:val="Heading 4"/>
    <w:basedOn w:val="710"/>
    <w:next w:val="710"/>
    <w:link w:val="890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15">
    <w:name w:val="Heading 5"/>
    <w:basedOn w:val="710"/>
    <w:next w:val="710"/>
    <w:link w:val="891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16">
    <w:name w:val="Heading 6"/>
    <w:basedOn w:val="710"/>
    <w:next w:val="710"/>
    <w:link w:val="892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17">
    <w:name w:val="Heading 7"/>
    <w:basedOn w:val="710"/>
    <w:next w:val="710"/>
    <w:link w:val="893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18">
    <w:name w:val="Heading 8"/>
    <w:basedOn w:val="710"/>
    <w:next w:val="710"/>
    <w:link w:val="894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19">
    <w:name w:val="Heading 9"/>
    <w:basedOn w:val="710"/>
    <w:next w:val="710"/>
    <w:link w:val="895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Heading 1 Char"/>
    <w:basedOn w:val="720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Heading 2 Char"/>
    <w:basedOn w:val="720"/>
    <w:uiPriority w:val="9"/>
    <w:rPr>
      <w:rFonts w:ascii="Arial" w:hAnsi="Arial" w:eastAsia="Arial" w:cs="Arial"/>
      <w:sz w:val="34"/>
    </w:rPr>
  </w:style>
  <w:style w:type="character" w:styleId="725" w:customStyle="1">
    <w:name w:val="Heading 3 Char"/>
    <w:basedOn w:val="720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Heading 4 Char"/>
    <w:basedOn w:val="720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Heading 5 Char"/>
    <w:basedOn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Heading 6 Char"/>
    <w:basedOn w:val="720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Heading 7 Char"/>
    <w:basedOn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8 Char"/>
    <w:basedOn w:val="720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Heading 9 Char"/>
    <w:basedOn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  <w:pPr>
      <w:spacing w:after="0" w:line="240" w:lineRule="auto"/>
    </w:pPr>
  </w:style>
  <w:style w:type="paragraph" w:styleId="733">
    <w:name w:val="Title"/>
    <w:basedOn w:val="710"/>
    <w:next w:val="710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 w:customStyle="1">
    <w:name w:val="Название Знак"/>
    <w:basedOn w:val="720"/>
    <w:link w:val="733"/>
    <w:uiPriority w:val="10"/>
    <w:rPr>
      <w:sz w:val="48"/>
      <w:szCs w:val="48"/>
    </w:rPr>
  </w:style>
  <w:style w:type="paragraph" w:styleId="735">
    <w:name w:val="Subtitle"/>
    <w:basedOn w:val="710"/>
    <w:next w:val="710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 w:customStyle="1">
    <w:name w:val="Подзаголовок Знак"/>
    <w:basedOn w:val="720"/>
    <w:link w:val="735"/>
    <w:uiPriority w:val="11"/>
    <w:rPr>
      <w:sz w:val="24"/>
      <w:szCs w:val="24"/>
    </w:rPr>
  </w:style>
  <w:style w:type="paragraph" w:styleId="737">
    <w:name w:val="Quote"/>
    <w:basedOn w:val="710"/>
    <w:next w:val="710"/>
    <w:link w:val="738"/>
    <w:uiPriority w:val="29"/>
    <w:qFormat/>
    <w:pPr>
      <w:ind w:left="720" w:right="720"/>
    </w:pPr>
    <w:rPr>
      <w:i/>
    </w:rPr>
  </w:style>
  <w:style w:type="character" w:styleId="738" w:customStyle="1">
    <w:name w:val="Цитата 2 Знак"/>
    <w:link w:val="737"/>
    <w:uiPriority w:val="29"/>
    <w:rPr>
      <w:i/>
    </w:rPr>
  </w:style>
  <w:style w:type="paragraph" w:styleId="739">
    <w:name w:val="Intense Quote"/>
    <w:basedOn w:val="710"/>
    <w:next w:val="710"/>
    <w:link w:val="74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 w:customStyle="1">
    <w:name w:val="Выделенная цитата Знак"/>
    <w:link w:val="739"/>
    <w:uiPriority w:val="30"/>
    <w:rPr>
      <w:i/>
    </w:rPr>
  </w:style>
  <w:style w:type="character" w:styleId="741" w:customStyle="1">
    <w:name w:val="Header Char"/>
    <w:basedOn w:val="720"/>
    <w:uiPriority w:val="99"/>
  </w:style>
  <w:style w:type="character" w:styleId="742" w:customStyle="1">
    <w:name w:val="Footer Char"/>
    <w:basedOn w:val="720"/>
    <w:uiPriority w:val="99"/>
  </w:style>
  <w:style w:type="paragraph" w:styleId="743">
    <w:name w:val="Caption"/>
    <w:basedOn w:val="710"/>
    <w:next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4" w:customStyle="1">
    <w:name w:val="Caption Char"/>
    <w:uiPriority w:val="99"/>
  </w:style>
  <w:style w:type="table" w:styleId="745" w:customStyle="1">
    <w:name w:val="Table Grid Light"/>
    <w:basedOn w:val="7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6">
    <w:name w:val="Plain Table 1"/>
    <w:basedOn w:val="72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72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basedOn w:val="7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>
    <w:name w:val="Grid Table 5 Dark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>
    <w:name w:val="Grid Table 7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basedOn w:val="7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>
    <w:name w:val="List Table 7 Colorful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basedOn w:val="72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basedOn w:val="7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0">
    <w:name w:val="footnote text"/>
    <w:basedOn w:val="710"/>
    <w:link w:val="871"/>
    <w:uiPriority w:val="99"/>
    <w:semiHidden/>
    <w:unhideWhenUsed/>
    <w:pPr>
      <w:spacing w:after="40"/>
    </w:pPr>
    <w:rPr>
      <w:sz w:val="18"/>
    </w:rPr>
  </w:style>
  <w:style w:type="character" w:styleId="871" w:customStyle="1">
    <w:name w:val="Текст сноски Знак"/>
    <w:link w:val="870"/>
    <w:uiPriority w:val="99"/>
    <w:rPr>
      <w:sz w:val="18"/>
    </w:rPr>
  </w:style>
  <w:style w:type="character" w:styleId="872">
    <w:name w:val="footnote reference"/>
    <w:basedOn w:val="720"/>
    <w:uiPriority w:val="99"/>
    <w:unhideWhenUsed/>
    <w:rPr>
      <w:vertAlign w:val="superscript"/>
    </w:rPr>
  </w:style>
  <w:style w:type="paragraph" w:styleId="873">
    <w:name w:val="endnote text"/>
    <w:basedOn w:val="710"/>
    <w:link w:val="874"/>
    <w:uiPriority w:val="99"/>
    <w:semiHidden/>
    <w:unhideWhenUsed/>
  </w:style>
  <w:style w:type="character" w:styleId="874" w:customStyle="1">
    <w:name w:val="Текст концевой сноски Знак"/>
    <w:link w:val="873"/>
    <w:uiPriority w:val="99"/>
    <w:rPr>
      <w:sz w:val="20"/>
    </w:rPr>
  </w:style>
  <w:style w:type="character" w:styleId="875">
    <w:name w:val="endnote reference"/>
    <w:basedOn w:val="720"/>
    <w:uiPriority w:val="99"/>
    <w:semiHidden/>
    <w:unhideWhenUsed/>
    <w:rPr>
      <w:vertAlign w:val="superscript"/>
    </w:rPr>
  </w:style>
  <w:style w:type="paragraph" w:styleId="876">
    <w:name w:val="toc 1"/>
    <w:basedOn w:val="710"/>
    <w:next w:val="710"/>
    <w:uiPriority w:val="39"/>
    <w:unhideWhenUsed/>
    <w:pPr>
      <w:spacing w:after="57"/>
    </w:pPr>
  </w:style>
  <w:style w:type="paragraph" w:styleId="877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8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9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80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1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2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3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4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5">
    <w:name w:val="TOC Heading"/>
    <w:uiPriority w:val="39"/>
    <w:unhideWhenUsed/>
  </w:style>
  <w:style w:type="paragraph" w:styleId="886">
    <w:name w:val="table of figures"/>
    <w:basedOn w:val="710"/>
    <w:next w:val="710"/>
    <w:uiPriority w:val="99"/>
    <w:unhideWhenUsed/>
  </w:style>
  <w:style w:type="character" w:styleId="887" w:customStyle="1">
    <w:name w:val="Заголовок 1 Знак"/>
    <w:basedOn w:val="720"/>
    <w:link w:val="711"/>
    <w:uiPriority w:val="99"/>
    <w:rPr>
      <w:rFonts w:ascii="Cambria" w:hAnsi="Cambria" w:cs="Times New Roman"/>
      <w:b/>
      <w:bCs/>
      <w:sz w:val="32"/>
      <w:szCs w:val="32"/>
    </w:rPr>
  </w:style>
  <w:style w:type="character" w:styleId="888" w:customStyle="1">
    <w:name w:val="Заголовок 2 Знак"/>
    <w:basedOn w:val="720"/>
    <w:link w:val="71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9" w:customStyle="1">
    <w:name w:val="Заголовок 3 Знак"/>
    <w:basedOn w:val="720"/>
    <w:link w:val="71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90" w:customStyle="1">
    <w:name w:val="Заголовок 4 Знак"/>
    <w:basedOn w:val="720"/>
    <w:link w:val="71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91" w:customStyle="1">
    <w:name w:val="Заголовок 5 Знак"/>
    <w:basedOn w:val="720"/>
    <w:link w:val="71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92" w:customStyle="1">
    <w:name w:val="Заголовок 6 Знак"/>
    <w:basedOn w:val="720"/>
    <w:link w:val="716"/>
    <w:uiPriority w:val="99"/>
    <w:semiHidden/>
    <w:rPr>
      <w:rFonts w:ascii="Calibri" w:hAnsi="Calibri" w:cs="Times New Roman"/>
      <w:b/>
      <w:bCs/>
    </w:rPr>
  </w:style>
  <w:style w:type="character" w:styleId="893" w:customStyle="1">
    <w:name w:val="Заголовок 7 Знак"/>
    <w:basedOn w:val="720"/>
    <w:link w:val="717"/>
    <w:uiPriority w:val="99"/>
    <w:semiHidden/>
    <w:rPr>
      <w:rFonts w:ascii="Calibri" w:hAnsi="Calibri" w:cs="Times New Roman"/>
      <w:sz w:val="24"/>
      <w:szCs w:val="24"/>
    </w:rPr>
  </w:style>
  <w:style w:type="character" w:styleId="894" w:customStyle="1">
    <w:name w:val="Заголовок 8 Знак"/>
    <w:basedOn w:val="720"/>
    <w:link w:val="71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5" w:customStyle="1">
    <w:name w:val="Заголовок 9 Знак"/>
    <w:basedOn w:val="720"/>
    <w:link w:val="719"/>
    <w:uiPriority w:val="99"/>
    <w:semiHidden/>
    <w:rPr>
      <w:rFonts w:ascii="Cambria" w:hAnsi="Cambria" w:cs="Times New Roman"/>
    </w:rPr>
  </w:style>
  <w:style w:type="paragraph" w:styleId="896" w:customStyle="1">
    <w:name w:val="заголовок 1"/>
    <w:basedOn w:val="710"/>
    <w:next w:val="710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7" w:customStyle="1">
    <w:name w:val="заголовок 2"/>
    <w:basedOn w:val="710"/>
    <w:next w:val="710"/>
    <w:uiPriority w:val="99"/>
    <w:pPr>
      <w:jc w:val="center"/>
      <w:keepNext/>
      <w:outlineLvl w:val="1"/>
    </w:pPr>
    <w:rPr>
      <w:sz w:val="28"/>
      <w:szCs w:val="28"/>
    </w:rPr>
  </w:style>
  <w:style w:type="character" w:styleId="898" w:customStyle="1">
    <w:name w:val="Основной шрифт"/>
    <w:uiPriority w:val="99"/>
  </w:style>
  <w:style w:type="paragraph" w:styleId="899">
    <w:name w:val="Header"/>
    <w:basedOn w:val="710"/>
    <w:link w:val="900"/>
    <w:uiPriority w:val="99"/>
    <w:pPr>
      <w:tabs>
        <w:tab w:val="center" w:pos="4153" w:leader="none"/>
        <w:tab w:val="right" w:pos="8306" w:leader="none"/>
      </w:tabs>
    </w:pPr>
  </w:style>
  <w:style w:type="character" w:styleId="900" w:customStyle="1">
    <w:name w:val="Верхний колонтитул Знак"/>
    <w:basedOn w:val="720"/>
    <w:link w:val="899"/>
    <w:uiPriority w:val="99"/>
    <w:rPr>
      <w:rFonts w:cs="Times New Roman"/>
      <w:sz w:val="20"/>
      <w:szCs w:val="20"/>
    </w:rPr>
  </w:style>
  <w:style w:type="character" w:styleId="901" w:customStyle="1">
    <w:name w:val="номер страницы"/>
    <w:basedOn w:val="898"/>
    <w:uiPriority w:val="99"/>
    <w:rPr>
      <w:rFonts w:cs="Times New Roman"/>
    </w:rPr>
  </w:style>
  <w:style w:type="paragraph" w:styleId="902">
    <w:name w:val="Body Text"/>
    <w:basedOn w:val="710"/>
    <w:link w:val="903"/>
    <w:uiPriority w:val="99"/>
    <w:pPr>
      <w:jc w:val="both"/>
    </w:pPr>
    <w:rPr>
      <w:sz w:val="28"/>
      <w:szCs w:val="28"/>
    </w:rPr>
  </w:style>
  <w:style w:type="character" w:styleId="903" w:customStyle="1">
    <w:name w:val="Основной текст Знак"/>
    <w:basedOn w:val="720"/>
    <w:link w:val="902"/>
    <w:uiPriority w:val="99"/>
    <w:semiHidden/>
    <w:rPr>
      <w:rFonts w:cs="Times New Roman"/>
      <w:sz w:val="20"/>
      <w:szCs w:val="20"/>
    </w:rPr>
  </w:style>
  <w:style w:type="paragraph" w:styleId="904">
    <w:name w:val="Body Text 2"/>
    <w:basedOn w:val="710"/>
    <w:link w:val="905"/>
    <w:uiPriority w:val="99"/>
    <w:pPr>
      <w:jc w:val="both"/>
    </w:pPr>
    <w:rPr>
      <w:sz w:val="28"/>
      <w:szCs w:val="28"/>
    </w:rPr>
  </w:style>
  <w:style w:type="character" w:styleId="905" w:customStyle="1">
    <w:name w:val="Основной текст 2 Знак"/>
    <w:basedOn w:val="720"/>
    <w:link w:val="904"/>
    <w:uiPriority w:val="99"/>
    <w:semiHidden/>
    <w:rPr>
      <w:rFonts w:cs="Times New Roman"/>
      <w:sz w:val="20"/>
      <w:szCs w:val="20"/>
    </w:rPr>
  </w:style>
  <w:style w:type="paragraph" w:styleId="906">
    <w:name w:val="Body Text Indent 2"/>
    <w:basedOn w:val="710"/>
    <w:link w:val="907"/>
    <w:uiPriority w:val="99"/>
    <w:pPr>
      <w:ind w:firstLine="709"/>
      <w:jc w:val="both"/>
    </w:pPr>
    <w:rPr>
      <w:sz w:val="28"/>
      <w:szCs w:val="28"/>
    </w:rPr>
  </w:style>
  <w:style w:type="character" w:styleId="907" w:customStyle="1">
    <w:name w:val="Основной текст с отступом 2 Знак"/>
    <w:basedOn w:val="720"/>
    <w:link w:val="906"/>
    <w:uiPriority w:val="99"/>
    <w:semiHidden/>
    <w:rPr>
      <w:rFonts w:cs="Times New Roman"/>
      <w:sz w:val="20"/>
      <w:szCs w:val="20"/>
    </w:rPr>
  </w:style>
  <w:style w:type="paragraph" w:styleId="908">
    <w:name w:val="Footer"/>
    <w:basedOn w:val="710"/>
    <w:link w:val="909"/>
    <w:uiPriority w:val="99"/>
    <w:pPr>
      <w:tabs>
        <w:tab w:val="center" w:pos="4153" w:leader="none"/>
        <w:tab w:val="right" w:pos="8306" w:leader="none"/>
      </w:tabs>
    </w:pPr>
  </w:style>
  <w:style w:type="character" w:styleId="909" w:customStyle="1">
    <w:name w:val="Нижний колонтитул Знак"/>
    <w:basedOn w:val="720"/>
    <w:link w:val="908"/>
    <w:uiPriority w:val="99"/>
    <w:rPr>
      <w:rFonts w:cs="Times New Roman"/>
      <w:sz w:val="20"/>
      <w:szCs w:val="20"/>
    </w:rPr>
  </w:style>
  <w:style w:type="paragraph" w:styleId="910">
    <w:name w:val="Body Text Indent 3"/>
    <w:basedOn w:val="710"/>
    <w:link w:val="911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11" w:customStyle="1">
    <w:name w:val="Основной текст с отступом 3 Знак"/>
    <w:basedOn w:val="720"/>
    <w:link w:val="910"/>
    <w:uiPriority w:val="99"/>
    <w:semiHidden/>
    <w:rPr>
      <w:rFonts w:cs="Times New Roman"/>
      <w:sz w:val="16"/>
      <w:szCs w:val="16"/>
    </w:rPr>
  </w:style>
  <w:style w:type="paragraph" w:styleId="912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13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4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5">
    <w:name w:val="Table Grid"/>
    <w:basedOn w:val="721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6">
    <w:name w:val="Body Text Indent"/>
    <w:basedOn w:val="710"/>
    <w:link w:val="917"/>
    <w:uiPriority w:val="99"/>
    <w:pPr>
      <w:ind w:left="283"/>
      <w:spacing w:after="120"/>
    </w:pPr>
  </w:style>
  <w:style w:type="character" w:styleId="917" w:customStyle="1">
    <w:name w:val="Основной текст с отступом Знак"/>
    <w:basedOn w:val="720"/>
    <w:link w:val="916"/>
    <w:uiPriority w:val="99"/>
    <w:semiHidden/>
    <w:rPr>
      <w:rFonts w:cs="Times New Roman"/>
      <w:sz w:val="20"/>
      <w:szCs w:val="20"/>
    </w:rPr>
  </w:style>
  <w:style w:type="paragraph" w:styleId="918">
    <w:name w:val="Balloon Text"/>
    <w:basedOn w:val="710"/>
    <w:link w:val="919"/>
    <w:uiPriority w:val="99"/>
    <w:semiHidden/>
    <w:rPr>
      <w:rFonts w:ascii="Tahoma" w:hAnsi="Tahoma" w:cs="Tahoma"/>
      <w:sz w:val="16"/>
      <w:szCs w:val="16"/>
    </w:rPr>
  </w:style>
  <w:style w:type="character" w:styleId="919" w:customStyle="1">
    <w:name w:val="Текст выноски Знак"/>
    <w:basedOn w:val="720"/>
    <w:link w:val="918"/>
    <w:uiPriority w:val="99"/>
    <w:semiHidden/>
    <w:rPr>
      <w:rFonts w:ascii="Tahoma" w:hAnsi="Tahoma" w:cs="Tahoma"/>
      <w:sz w:val="16"/>
      <w:szCs w:val="16"/>
    </w:rPr>
  </w:style>
  <w:style w:type="character" w:styleId="920">
    <w:name w:val="page number"/>
    <w:basedOn w:val="720"/>
    <w:uiPriority w:val="99"/>
    <w:rPr>
      <w:rFonts w:cs="Times New Roman"/>
    </w:rPr>
  </w:style>
  <w:style w:type="table" w:styleId="921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2" w:customStyle="1">
    <w:name w:val="ConsPlusNormal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23">
    <w:name w:val="Hyperlink"/>
    <w:basedOn w:val="720"/>
    <w:uiPriority w:val="99"/>
    <w:semiHidden/>
    <w:unhideWhenUsed/>
    <w:rPr>
      <w:rFonts w:cs="Times New Roman"/>
      <w:color w:val="0000ff"/>
      <w:u w:val="single"/>
    </w:rPr>
  </w:style>
  <w:style w:type="paragraph" w:styleId="924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25">
    <w:name w:val="List Paragraph"/>
    <w:basedOn w:val="710"/>
    <w:uiPriority w:val="34"/>
    <w:qFormat/>
    <w:pPr>
      <w:contextualSpacing/>
      <w:ind w:left="720"/>
    </w:pPr>
  </w:style>
  <w:style w:type="character" w:styleId="926">
    <w:name w:val="annotation reference"/>
    <w:basedOn w:val="720"/>
    <w:uiPriority w:val="99"/>
    <w:semiHidden/>
    <w:unhideWhenUsed/>
    <w:rPr>
      <w:sz w:val="16"/>
      <w:szCs w:val="16"/>
    </w:rPr>
  </w:style>
  <w:style w:type="paragraph" w:styleId="927">
    <w:name w:val="annotation text"/>
    <w:basedOn w:val="710"/>
    <w:link w:val="928"/>
    <w:uiPriority w:val="99"/>
    <w:semiHidden/>
    <w:unhideWhenUsed/>
  </w:style>
  <w:style w:type="character" w:styleId="928" w:customStyle="1">
    <w:name w:val="Текст примечания Знак"/>
    <w:basedOn w:val="720"/>
    <w:link w:val="927"/>
    <w:uiPriority w:val="99"/>
    <w:semiHidden/>
    <w:rPr>
      <w:sz w:val="20"/>
      <w:szCs w:val="20"/>
    </w:rPr>
  </w:style>
  <w:style w:type="paragraph" w:styleId="929">
    <w:name w:val="annotation subject"/>
    <w:basedOn w:val="927"/>
    <w:next w:val="927"/>
    <w:link w:val="930"/>
    <w:uiPriority w:val="99"/>
    <w:semiHidden/>
    <w:unhideWhenUsed/>
    <w:rPr>
      <w:b/>
      <w:bCs/>
    </w:rPr>
  </w:style>
  <w:style w:type="character" w:styleId="930" w:customStyle="1">
    <w:name w:val="Тема примечания Знак"/>
    <w:basedOn w:val="928"/>
    <w:link w:val="929"/>
    <w:uiPriority w:val="99"/>
    <w:semiHidden/>
    <w:rPr>
      <w:b/>
      <w:bCs/>
      <w:sz w:val="20"/>
      <w:szCs w:val="20"/>
    </w:rPr>
  </w:style>
  <w:style w:type="character" w:styleId="931" w:customStyle="1">
    <w:name w:val="Подпись к картинке + 9;5 pt;Не полужирный Exact"/>
    <w:basedOn w:val="72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  <w:style w:type="table" w:styleId="932" w:customStyle="1">
    <w:name w:val="Сетка таблицы2"/>
    <w:basedOn w:val="721"/>
    <w:next w:val="9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3" w:customStyle="1">
    <w:name w:val="Подпись к картинке + 9"/>
    <w:basedOn w:val="720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95C4BFA68773DF14F219046D92EC41E676DE16F2429155CFF9B1907BE1586FE4B707A8CA37C667D730E2B818A390560D0C19468A6F1D9592MFe6J" TargetMode="External"/><Relationship Id="rId13" Type="http://schemas.openxmlformats.org/officeDocument/2006/relationships/hyperlink" Target="https://login.consultant.ru/link/?req=doc&amp;base=LAW&amp;n=504722&amp;dst=100116" TargetMode="External"/><Relationship Id="rId14" Type="http://schemas.openxmlformats.org/officeDocument/2006/relationships/hyperlink" Target="https://login.consultant.ru/link/?req=doc&amp;base=LAW&amp;n=504722&amp;dst=100119" TargetMode="External"/><Relationship Id="rId15" Type="http://schemas.openxmlformats.org/officeDocument/2006/relationships/hyperlink" Target="https://login.consultant.ru/link/?req=doc&amp;base=LAW&amp;n=504722&amp;dst=100137" TargetMode="External"/><Relationship Id="rId16" Type="http://schemas.openxmlformats.org/officeDocument/2006/relationships/hyperlink" Target="https://login.consultant.ru/link/?req=doc&amp;base=LAW&amp;n=504722&amp;dst=100164" TargetMode="External"/><Relationship Id="rId17" Type="http://schemas.openxmlformats.org/officeDocument/2006/relationships/hyperlink" Target="https://login.consultant.ru/link/?req=doc&amp;base=LAW&amp;n=504722&amp;dst=100185" TargetMode="External"/><Relationship Id="rId18" Type="http://schemas.openxmlformats.org/officeDocument/2006/relationships/hyperlink" Target="consultantplus://offline/ref=612F26C80E35E172AD0C977BBC3DEFAFCB322FB4C0406925A7CAF5083D6A9A6F68CA52BDA9047A439D7599DC4BFCAAC504EE2A909950F96DkEy6F" TargetMode="External"/><Relationship Id="rId19" Type="http://schemas.openxmlformats.org/officeDocument/2006/relationships/hyperlink" Target="consultantplus://offline/ref=22700F43140B3E3AD61BAFE2D156177D494C0883B3CEB872A3BE427A598B019B26DC73578A77AC8A37E50E4AA697F65882EA347671D1242EOA11F" TargetMode="External"/><Relationship Id="rId20" Type="http://schemas.openxmlformats.org/officeDocument/2006/relationships/hyperlink" Target="consultantplus://offline/ref=AFE5871AB972F0677355D639483EA167A40D307A848A42382885CF58C55233F02F181105EAAAB7831ED6E4CB1677014E47BDAB5DB9D3F28CZ81EF" TargetMode="External"/><Relationship Id="rId21" Type="http://schemas.openxmlformats.org/officeDocument/2006/relationships/hyperlink" Target="consultantplus://offline/ref=95C4BFA68773DF14F219046D92EC41E676DE16F2429155CFF9B1907BE1586FE4B707A8CA37C664D632E2B818A390560D0C19468A6F1D9592MFe6J" TargetMode="External"/><Relationship Id="rId22" Type="http://schemas.openxmlformats.org/officeDocument/2006/relationships/hyperlink" Target="https://login.consultant.ru/link/?req=doc&amp;base=LAW&amp;n=504722&amp;dst=100221" TargetMode="External"/><Relationship Id="rId23" Type="http://schemas.openxmlformats.org/officeDocument/2006/relationships/hyperlink" Target="https://login.consultant.ru/link/?req=doc&amp;base=LAW&amp;n=504722&amp;dst=100224" TargetMode="External"/><Relationship Id="rId24" Type="http://schemas.openxmlformats.org/officeDocument/2006/relationships/hyperlink" Target="https://login.consultant.ru/link/?req=doc&amp;base=LAW&amp;n=504722&amp;dst=100227" TargetMode="External"/><Relationship Id="rId25" Type="http://schemas.openxmlformats.org/officeDocument/2006/relationships/hyperlink" Target="https://login.consultant.ru/link/?req=doc&amp;base=LAW&amp;n=504722&amp;dst=100230" TargetMode="External"/><Relationship Id="rId26" Type="http://schemas.openxmlformats.org/officeDocument/2006/relationships/hyperlink" Target="http://10.12.1.46/cons/cgi/online.cgi?req=doc&amp;base=LAW&amp;n=504722&amp;dst=100248&amp;field=134&amp;date=01.10.2025" TargetMode="External"/><Relationship Id="rId27" Type="http://schemas.openxmlformats.org/officeDocument/2006/relationships/hyperlink" Target="https://login.consultant.ru/link/?req=doc&amp;base=LAW&amp;n=504722&amp;dst=100251" TargetMode="External"/><Relationship Id="rId28" Type="http://schemas.openxmlformats.org/officeDocument/2006/relationships/hyperlink" Target="http://10.12.1.46/cons/cgi/online.cgi?req=doc&amp;base=LAW&amp;n=504722&amp;dst=100347&amp;field=134&amp;date=01.10.2025" TargetMode="External"/><Relationship Id="rId29" Type="http://schemas.openxmlformats.org/officeDocument/2006/relationships/hyperlink" Target="http://10.12.1.46/cons/cgi/online.cgi?req=doc&amp;base=LAW&amp;n=504722&amp;dst=100350&amp;field=134&amp;date=01.10.2025" TargetMode="External"/><Relationship Id="rId30" Type="http://schemas.openxmlformats.org/officeDocument/2006/relationships/hyperlink" Target="consultantplus://offline/ref=25734C9CAB6DE26625F749934760A2B79924284B5C4AFC6F01F1D71F3C0D08876B2CAE1C7555D338074CBCE8306F361447323EB7AC245652A2kCJ" TargetMode="External"/><Relationship Id="rId31" Type="http://schemas.openxmlformats.org/officeDocument/2006/relationships/hyperlink" Target="consultantplus://offline/ref=95C4BFA68773DF14F219046D92EC41E676DE16F2429155CFF9B1907BE1586FE4B707A8CA37C665D033E2B818A390560D0C19468A6F1D9592MFe6J" TargetMode="External"/><Relationship Id="rId32" Type="http://schemas.openxmlformats.org/officeDocument/2006/relationships/hyperlink" Target="http://10.12.1.46/cons/cgi/online.cgi?req=doc&amp;base=LAW&amp;n=504722&amp;dst=100392&amp;field=134&amp;date=01.10.2025" TargetMode="External"/><Relationship Id="rId33" Type="http://schemas.openxmlformats.org/officeDocument/2006/relationships/hyperlink" Target="consultantplus://offline/ref=95C4BFA68773DF14F219046D92EC41E676DE16F2429155CFF9B1907BE1586FE4B707A8CA37C662D232E2B818A390560D0C19468A6F1D9592MFe6J" TargetMode="External"/><Relationship Id="rId34" Type="http://schemas.openxmlformats.org/officeDocument/2006/relationships/hyperlink" Target="consultantplus://offline/ref=95C4BFA68773DF14F219046D92EC41E676DE16F2429155CFF9B1907BE1586FE4B707A8CA37C662D23FE2B818A390560D0C19468A6F1D9592MFe6J" TargetMode="External"/><Relationship Id="rId35" Type="http://schemas.openxmlformats.org/officeDocument/2006/relationships/hyperlink" Target="consultantplus://offline/ref=95C4BFA68773DF14F219046D92EC41E676DE16F2429155CFF9B1907BE1586FE4B707A8CA37C662D136E2B818A390560D0C19468A6F1D9592MFe6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CC8B45-5E7E-4864-B7CC-394B6577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34</cp:revision>
  <dcterms:created xsi:type="dcterms:W3CDTF">2023-02-20T10:23:00Z</dcterms:created>
  <dcterms:modified xsi:type="dcterms:W3CDTF">2025-10-27T07:56:19Z</dcterms:modified>
</cp:coreProperties>
</file>