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921"/>
        <w:tblW w:w="0" w:type="auto"/>
        <w:tblLayout w:type="fixed"/>
        <w:tblLook w:val="04A0" w:firstRow="1" w:lastRow="0" w:firstColumn="1" w:lastColumn="0" w:noHBand="0" w:noVBand="1"/>
      </w:tblPr>
      <w:tblGrid>
        <w:gridCol w:w="5811"/>
        <w:gridCol w:w="4111"/>
      </w:tblGrid>
      <w:tr>
        <w:tblPrEx/>
        <w:trPr>
          <w:trHeight w:val="1984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11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textDirection w:val="lrTb"/>
            <w:noWrap w:val="false"/>
          </w:tcPr>
          <w:p>
            <w:pPr>
              <w:pStyle w:val="739"/>
              <w:contextualSpacing w:val="0"/>
              <w:jc w:val="center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Правительства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</w:rPr>
              <w:t xml:space="preserve">Новосибирской области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от_____________№______</w:t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</w:r>
          </w:p>
        </w:tc>
      </w:tr>
    </w:tbl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ПОРЯДОК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cyan"/>
        </w:rPr>
      </w:pP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взаимодей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ствия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между областными исполнительными органами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Новосибирской обла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сти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 и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органами местного самоуправления поселений, муниципальных округов, городских округов Новосибирской области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при осуществлении мониторинга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 разраб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отки и утвержде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ния </w:t>
      </w:r>
      <w:r>
        <w:rPr>
          <w:rFonts w:ascii="Times New Roman" w:hAnsi="Times New Roman" w:eastAsia="Times New Roman" w:cs="Times New Roman"/>
          <w:b/>
          <w:bCs/>
          <w:color w:val="auto"/>
          <w:sz w:val="28"/>
          <w:szCs w:val="28"/>
          <w:highlight w:val="none"/>
          <w:shd w:val="clear" w:color="auto" w:fill="ffffff"/>
        </w:rPr>
        <w:t xml:space="preserve">программ комплексного развития</w:t>
      </w:r>
      <w:r>
        <w:rPr>
          <w:rFonts w:ascii="Times New Roman" w:hAnsi="Times New Roman" w:cs="Times New Roman"/>
          <w:color w:val="auto"/>
          <w:sz w:val="28"/>
          <w:szCs w:val="28"/>
          <w:highlight w:val="cyan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cyan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1. Настоящий Порядок разработан в целях: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1) создан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ия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правового механизма межведомственного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взаимодействия м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ежду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областными исполнительными органами Новосибирской области и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shd w:val="clear" w:color="auto" w:fill="ffffff"/>
        </w:rPr>
        <w:t xml:space="preserve">органами местного самоуправления поселений, муниципальных округов, городских округов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при осуществлени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и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мониторинга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разработки и утвержде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программ комплексного р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азвития систем коммунальной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инфраструктуры поселений, муниципальных округов, городских округов Новосибирской области, программ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комплексного развития транспортной инфраструктуры поселений, муниципальных округов, городских округов Новосибирской области, программ комплексного развития социальной инфраструктуры поселений, муниципальных округов, городских округов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Новосиб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(да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лее –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программы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)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;</w:t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2) контроля за выполнением мероприятий, направленных на развитие коммунальной, транспортной и социал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ьной инфраструктур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поселений, муниципальных округов, городских округов Новосибирской области</w:t>
      </w:r>
      <w:r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  <w:t xml:space="preserve">.</w:t>
      </w:r>
      <w:r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2. Настоящий Порядок регулирует вопросы, связанные с организацией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межведомственного взаимодействия между областными исполнительными органами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и органами местного самоуправления поселений, муниципальных округов, городских округов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 при осуществлении мониторинга разработки и утверждения программ комплексного развития.</w:t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3. Органам местного самоуправления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поселений, муниципальных округов, городских округов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при разработке и утверждении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программ комплексного р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азвития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необходимо руководствоваться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постановлениями Правительства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Российской Федерации от 14.06.2013 № 502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«Об утверждении требований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к программам комплексного развития систем коммунальной инфраструктуры поселений, муниципальных округов, городских округов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»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от 25.12.2015 № 1440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«Об утверждении требований к программам комплексного развития транспортной инфраструктуры поселений, муниципальных округов, городских округов»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от 01.10.2015 № 1050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«Об утверждении требований к программам комплексного развития социальной инфраструктуры поселений, муниципальных округов, городских округов».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4. 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Министерство строительства Новосибирской области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(далее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Минстрой НСО)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осуществляет мониторинг разработки и утверждения программ комплексного развития, организует работу по сбору информации, материалов и документов от органов местного самоуправления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поселений, муниципальных округов, городских округов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Новосибирской области о состоянии разработки и утверждения программ комплексного развития.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жилищно-коммунального хозяйства и энергетики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Новосибирской области оказывает содействие Минстрою НСО в осуществлении мониторинга разработки и утверждения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рограмм комплексного развития систем коммунальной инфраструктуры поселения, муниципального округа, городского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округа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(далее – ПКРСКИ)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транспорта и дорожного хозяйства Новосибирской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оказывает содействие Минстрою НСО в осуществлении мониторинга разработки и утверждения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рограмм комплексного развития транспортной инфраструктуры поселения, муниципального округа, городского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округа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(далее – ПКРТИ)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труда и социального развития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образования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Новосибирской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здравоохранения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Новосибирской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физической культуры и спорта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культуры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оказывают содействие Минстрою НСО в осуществлении мониторинга разработки и утверждения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рограмм комплексного развития социальной инфраструктуры поселения, муниципального округа, городского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округа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(далее – ПКРСИ)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5. 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Переч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ень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индикаторов, необходимых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для осуществления мониторинга разработки и утверждения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рограмм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формируется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Минстроем НСО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 учетом предложений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1)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министерств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жилищно-коммунального хозяйства и энергетики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Новосибирской области – в отношении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ПКРСКИ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соответс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твии с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Приказом Госстроя от 28.10.2013 № 397/ГС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«О порядке осуще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ствления мониторинга разработки и утверждения программ комплексного развития систем коммунальной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2) министерств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транспорта и дорожного хозяйства Новосибирской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области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highlight w:val="none"/>
        </w:rPr>
        <w:t xml:space="preserve"> 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в 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риказом Минтранса России от 26.05.2016 № 131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«Об утверждении порядка осуществления мониторинга разработки и утверждения программ комплексного развития транспортной инфраструктуры поселений, городских округов»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3) 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труда и социального развития Новосибирской области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 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Приказом Минэкономразвития России от 29.03.2016 № 181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«Об утверждении Порядка осуществления мониторинга разработки и утверждения программ комплексного развития социальной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в части объектов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местного значения  поселения, муниципального округа, городского округа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в сфере социального обслуживания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4) 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образования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Новосибирской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области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Приказом Минэкономразвития России от 29.03.2016 № 181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«Об утверждении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Порядка осуществления мониторинга разработки и утверждения программ комплексного развития социальной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в части объектов местного значения  поселения, муниципального округа, городского округа в области образования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5) 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здравоохранения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 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Приказом Минэкономразвития России от 29.03.2016 № 181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«Об утверждении Порядка осуществления мониторинга разработки и утверждения программ комплексного развития социальной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части объектов местного значения  поселения, муниципального округа, городского округа в области здравоохранения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6) 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физической культуры и спорта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 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Приказом Минэкономразвития России от 29.03.2016 № 181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«Об утверждении Порядка осуществления мониторинга разработки и утверждения программ комплексного развития социальной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части объектов местного значения  поселения, муниципального округа, городского округа в области физической культуры и массового спорта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;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7) министерств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культуры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–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 отношении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ПКРСИ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в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соответствии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Приказом Минэкономразвития России от 29.03.2016 № 181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«Об утверждении Порядка осуществления мониторинга разработки и утверждения программ комплексного развития социальной инфраструктуры поселений, городских округов»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части объектов местного значения  поселения, муниципального округа, городского округа в области культуры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  <w:t xml:space="preserve">6. Областные исполнительные органы Новосибирской области, указанные в подпунктах 1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  <w:t xml:space="preserve"> 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- 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  <w:t xml:space="preserve">7 пункта 5 настоящего Порядка,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направляют в Минстрой НСО предложения по формированию перечня индикаторов, необходимых для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осуществления мониторинга разработки и утверждения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рограмм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в течение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30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дней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со дня получения от Минстроя НСО соответствующего запроса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c00000"/>
          <w:sz w:val="28"/>
          <w:szCs w:val="28"/>
          <w:highlight w:val="none"/>
          <w:u w:val="none"/>
          <w:shd w:val="clear" w:color="auto" w:fill="ffffff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7. 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Органы местного само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управления поселений, муниципальных округов,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городских округов Новосибирской облас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ти 1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раз в полугодие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в течение 7 дней по истечении отчетного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периода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,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направл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яют 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в 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Минстрой НСО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: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1) информацию о состоянии разработки и утверждения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программ комплексног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о развития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в табличной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фо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рме в соответствии с приложением к настоящему Порядку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;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2) копии решений уполномоченного органа (лица) о разработке программ комплексного развития;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3) копии решений уполномоченного органа (лица) об утверждении программ комплексного развития с приложением копий самих программ на бумажном носителе и (или) в электронном виде;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4) сведения о размещении программ комплексного развития в Федеральной государственной информационной системе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территориального планирования.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8. Минстрой НСО при взаимодействии с областными исполнительными органами Новосибирской области, указанными в пункте 4 настоящего Порядка: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1)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течение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30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 дне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после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получения от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органов местного самоуправления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поселений, муниципальных округов,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городских округов Новосибирской области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информации о состоянии разработки и утве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рждения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программ комплексного развития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и копий документов, указанных в пункте 7 настоящего Порядка,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осуществляет мониторинг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 программ комплексного разви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ти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перечню и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ндикаторов,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сформированному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в соответствии с пунктом 5 настоящего Порядка,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и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готовит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отчет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 результатах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осуществления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мониторинга, в том числе предложения по корректировке программ комплексного развития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, по форме в соответствии с приложением к настоящему Порядку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</w:r>
      <w:bookmarkStart w:id="0" w:name="undefined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</w:r>
      <w:bookmarkEnd w:id="0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)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течение 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дней,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после истечения срока, указанного в подпункте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 настоящего пункта,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п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убликует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отчет о результатах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осуществления мониторинга разработки и утверждения про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гра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мм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указанный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подпункте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настоящего пункта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 официальном сайте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Минстроя НСО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в информационно-телекоммуникационной сети «Интернет» (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сс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ылка: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</w:r>
      <w:hyperlink r:id="rId13" w:tooltip="https://minstroy.nso.ru/page/9124" w:history="1">
        <w:r>
          <w:rPr>
            <w:rStyle w:val="929"/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u w:val="none"/>
            <w:shd w:val="clear" w:color="auto" w:fill="ffffff"/>
          </w:rPr>
          <w:t xml:space="preserve">https://minstroy.nso.ru/page/9124</w:t>
        </w:r>
        <w:r>
          <w:rPr>
            <w:rStyle w:val="929"/>
            <w:rFonts w:ascii="Times New Roman" w:hAnsi="Times New Roman" w:eastAsia="Times New Roman" w:cs="Times New Roman"/>
            <w:color w:val="auto"/>
            <w:sz w:val="28"/>
            <w:szCs w:val="28"/>
            <w:highlight w:val="none"/>
            <w:shd w:val="clear" w:color="auto" w:fill="ffffff"/>
          </w:rPr>
        </w:r>
      </w:hyperlink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);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3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)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течение 7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дней,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после истечения срока, указанного в подпункте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2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  <w:t xml:space="preserve"> настоящего пункта,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аправляет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отчет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указанный в подпункте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настоящего пу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нкта,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в органы местного самоуправления поселений, муниципальных округов,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городс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ких ок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ругов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Новосибирской области,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у которых выявлены несоответствия программ комплексного развития требованиям действующего зак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онодательства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для анализа и принятия решений по устранению выявленных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несоответствий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  <w14:ligatures w14:val="none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709"/>
        <w:jc w:val="both"/>
        <w:spacing w:line="240" w:lineRule="auto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9.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 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Органы местного самоуправления 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shd w:val="clear" w:color="auto" w:fill="ffffff"/>
        </w:rPr>
        <w:t xml:space="preserve">поселений, муниципальных округов, городских округов Но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восибирск</w:t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</w:rPr>
        <w:t xml:space="preserve">ой области,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 в случае получения от Минстроя НСО итоговог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о отчета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, указанного в подпункте 1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пу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нкта 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8 н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астоящего Порядка, указывающего на несоответствие программ комплексного развития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требованиям действующего законодательства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, 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в т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ечение 30 д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ней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 со дня получения так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ого отчета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 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формируют и направляют на согласование в Минстрой НСО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 дорожную карту о приведении программ комплексного развития в соответствие с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требованиями действующего законодательства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  <w:t xml:space="preserve">.</w:t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:u w:val="none"/>
          <w:shd w:val="clear" w:color="auto" w:fill="ffffff"/>
          <w14:ligatures w14:val="none"/>
        </w:rPr>
      </w:r>
    </w:p>
    <w:p>
      <w:pPr>
        <w:ind w:left="0" w:right="0" w:firstLine="709"/>
        <w:shd w:val="nil" w:color="000000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ind w:left="0" w:right="0" w:firstLine="709"/>
        <w:shd w:val="nil" w:color="000000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ind w:left="0" w:right="0" w:firstLine="709"/>
        <w:shd w:val="nil" w:color="000000"/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jc w:val="center"/>
        <w:shd w:val="nil" w:color="auto"/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trike w:val="0"/>
          <w:color w:val="auto"/>
          <w:sz w:val="28"/>
          <w:szCs w:val="28"/>
          <w:highlight w:val="none"/>
          <w14:ligatures w14:val="none"/>
        </w:rPr>
        <w:t xml:space="preserve">_________</w:t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trike/>
          <w:color w:val="auto"/>
          <w:sz w:val="28"/>
          <w:szCs w:val="28"/>
          <w:highlight w:val="none"/>
          <w14:ligatures w14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7" w:h="16840" w:orient="portrait"/>
      <w:pgMar w:top="1134" w:right="567" w:bottom="1134" w:left="1417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fldSimple w:instr="PAGE \* MERGEFORMAT">
      <w:r>
        <w:t xml:space="preserve">1</w:t>
      </w:r>
    </w:fldSimple>
    <w:r/>
    <w:r/>
  </w:p>
  <w:p>
    <w:pPr>
      <w:pStyle w:val="90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/>
    <w:r/>
  </w:p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0">
    <w:name w:val="Title Char"/>
    <w:basedOn w:val="726"/>
    <w:link w:val="739"/>
    <w:uiPriority w:val="10"/>
    <w:rPr>
      <w:sz w:val="48"/>
      <w:szCs w:val="48"/>
    </w:rPr>
  </w:style>
  <w:style w:type="character" w:styleId="711">
    <w:name w:val="Subtitle Char"/>
    <w:basedOn w:val="726"/>
    <w:link w:val="741"/>
    <w:uiPriority w:val="11"/>
    <w:rPr>
      <w:sz w:val="24"/>
      <w:szCs w:val="24"/>
    </w:rPr>
  </w:style>
  <w:style w:type="character" w:styleId="712">
    <w:name w:val="Quote Char"/>
    <w:link w:val="743"/>
    <w:uiPriority w:val="29"/>
    <w:rPr>
      <w:i/>
    </w:rPr>
  </w:style>
  <w:style w:type="character" w:styleId="713">
    <w:name w:val="Intense Quote Char"/>
    <w:link w:val="745"/>
    <w:uiPriority w:val="30"/>
    <w:rPr>
      <w:i/>
    </w:rPr>
  </w:style>
  <w:style w:type="character" w:styleId="714">
    <w:name w:val="Footnote Text Char"/>
    <w:link w:val="876"/>
    <w:uiPriority w:val="99"/>
    <w:rPr>
      <w:sz w:val="18"/>
    </w:rPr>
  </w:style>
  <w:style w:type="character" w:styleId="715">
    <w:name w:val="Endnote Text Char"/>
    <w:link w:val="879"/>
    <w:uiPriority w:val="99"/>
    <w:rPr>
      <w:sz w:val="20"/>
    </w:rPr>
  </w:style>
  <w:style w:type="paragraph" w:styleId="716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17">
    <w:name w:val="Heading 1"/>
    <w:basedOn w:val="716"/>
    <w:next w:val="716"/>
    <w:link w:val="893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18">
    <w:name w:val="Heading 2"/>
    <w:basedOn w:val="716"/>
    <w:next w:val="716"/>
    <w:link w:val="894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19">
    <w:name w:val="Heading 3"/>
    <w:basedOn w:val="716"/>
    <w:next w:val="716"/>
    <w:link w:val="895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20">
    <w:name w:val="Heading 4"/>
    <w:basedOn w:val="716"/>
    <w:next w:val="716"/>
    <w:link w:val="896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21">
    <w:name w:val="Heading 5"/>
    <w:basedOn w:val="716"/>
    <w:next w:val="716"/>
    <w:link w:val="897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22">
    <w:name w:val="Heading 6"/>
    <w:basedOn w:val="716"/>
    <w:next w:val="716"/>
    <w:link w:val="898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23">
    <w:name w:val="Heading 7"/>
    <w:basedOn w:val="716"/>
    <w:next w:val="716"/>
    <w:link w:val="899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24">
    <w:name w:val="Heading 8"/>
    <w:basedOn w:val="716"/>
    <w:next w:val="716"/>
    <w:link w:val="900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25">
    <w:name w:val="Heading 9"/>
    <w:basedOn w:val="716"/>
    <w:next w:val="716"/>
    <w:link w:val="901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Heading 1 Char"/>
    <w:basedOn w:val="726"/>
    <w:uiPriority w:val="9"/>
    <w:rPr>
      <w:rFonts w:ascii="Arial" w:hAnsi="Arial" w:eastAsia="Arial" w:cs="Arial"/>
      <w:sz w:val="40"/>
      <w:szCs w:val="40"/>
    </w:rPr>
  </w:style>
  <w:style w:type="character" w:styleId="730" w:customStyle="1">
    <w:name w:val="Heading 2 Char"/>
    <w:basedOn w:val="726"/>
    <w:uiPriority w:val="9"/>
    <w:rPr>
      <w:rFonts w:ascii="Arial" w:hAnsi="Arial" w:eastAsia="Arial" w:cs="Arial"/>
      <w:sz w:val="34"/>
    </w:rPr>
  </w:style>
  <w:style w:type="character" w:styleId="731" w:customStyle="1">
    <w:name w:val="Heading 3 Char"/>
    <w:basedOn w:val="726"/>
    <w:uiPriority w:val="9"/>
    <w:rPr>
      <w:rFonts w:ascii="Arial" w:hAnsi="Arial" w:eastAsia="Arial" w:cs="Arial"/>
      <w:sz w:val="30"/>
      <w:szCs w:val="30"/>
    </w:rPr>
  </w:style>
  <w:style w:type="character" w:styleId="732" w:customStyle="1">
    <w:name w:val="Heading 4 Char"/>
    <w:basedOn w:val="726"/>
    <w:uiPriority w:val="9"/>
    <w:rPr>
      <w:rFonts w:ascii="Arial" w:hAnsi="Arial" w:eastAsia="Arial" w:cs="Arial"/>
      <w:b/>
      <w:bCs/>
      <w:sz w:val="26"/>
      <w:szCs w:val="26"/>
    </w:rPr>
  </w:style>
  <w:style w:type="character" w:styleId="733" w:customStyle="1">
    <w:name w:val="Heading 5 Char"/>
    <w:basedOn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4" w:customStyle="1">
    <w:name w:val="Heading 6 Char"/>
    <w:basedOn w:val="726"/>
    <w:uiPriority w:val="9"/>
    <w:rPr>
      <w:rFonts w:ascii="Arial" w:hAnsi="Arial" w:eastAsia="Arial" w:cs="Arial"/>
      <w:b/>
      <w:bCs/>
      <w:sz w:val="22"/>
      <w:szCs w:val="22"/>
    </w:rPr>
  </w:style>
  <w:style w:type="character" w:styleId="735" w:customStyle="1">
    <w:name w:val="Heading 7 Char"/>
    <w:basedOn w:val="72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6" w:customStyle="1">
    <w:name w:val="Heading 8 Char"/>
    <w:basedOn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7" w:customStyle="1">
    <w:name w:val="Heading 9 Char"/>
    <w:basedOn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8">
    <w:name w:val="No Spacing"/>
    <w:uiPriority w:val="1"/>
    <w:qFormat/>
    <w:pPr>
      <w:spacing w:after="0" w:line="240" w:lineRule="auto"/>
    </w:pPr>
  </w:style>
  <w:style w:type="paragraph" w:styleId="739">
    <w:name w:val="Title"/>
    <w:basedOn w:val="716"/>
    <w:next w:val="716"/>
    <w:link w:val="74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0" w:customStyle="1">
    <w:name w:val="Название Знак"/>
    <w:basedOn w:val="726"/>
    <w:link w:val="739"/>
    <w:uiPriority w:val="10"/>
    <w:rPr>
      <w:sz w:val="48"/>
      <w:szCs w:val="48"/>
    </w:rPr>
  </w:style>
  <w:style w:type="paragraph" w:styleId="741">
    <w:name w:val="Subtitle"/>
    <w:basedOn w:val="716"/>
    <w:next w:val="716"/>
    <w:link w:val="742"/>
    <w:uiPriority w:val="11"/>
    <w:qFormat/>
    <w:pPr>
      <w:spacing w:before="200" w:after="200"/>
    </w:pPr>
    <w:rPr>
      <w:sz w:val="24"/>
      <w:szCs w:val="24"/>
    </w:rPr>
  </w:style>
  <w:style w:type="character" w:styleId="742" w:customStyle="1">
    <w:name w:val="Подзаголовок Знак"/>
    <w:basedOn w:val="726"/>
    <w:link w:val="741"/>
    <w:uiPriority w:val="11"/>
    <w:rPr>
      <w:sz w:val="24"/>
      <w:szCs w:val="24"/>
    </w:rPr>
  </w:style>
  <w:style w:type="paragraph" w:styleId="743">
    <w:name w:val="Quote"/>
    <w:basedOn w:val="716"/>
    <w:next w:val="716"/>
    <w:link w:val="744"/>
    <w:uiPriority w:val="29"/>
    <w:qFormat/>
    <w:pPr>
      <w:ind w:left="720" w:right="720"/>
    </w:pPr>
    <w:rPr>
      <w:i/>
    </w:rPr>
  </w:style>
  <w:style w:type="character" w:styleId="744" w:customStyle="1">
    <w:name w:val="Цитата 2 Знак"/>
    <w:link w:val="743"/>
    <w:uiPriority w:val="29"/>
    <w:rPr>
      <w:i/>
    </w:rPr>
  </w:style>
  <w:style w:type="paragraph" w:styleId="745">
    <w:name w:val="Intense Quote"/>
    <w:basedOn w:val="716"/>
    <w:next w:val="716"/>
    <w:link w:val="74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6" w:customStyle="1">
    <w:name w:val="Выделенная цитата Знак"/>
    <w:link w:val="745"/>
    <w:uiPriority w:val="30"/>
    <w:rPr>
      <w:i/>
    </w:rPr>
  </w:style>
  <w:style w:type="character" w:styleId="747" w:customStyle="1">
    <w:name w:val="Header Char"/>
    <w:basedOn w:val="726"/>
    <w:uiPriority w:val="99"/>
  </w:style>
  <w:style w:type="character" w:styleId="748" w:customStyle="1">
    <w:name w:val="Footer Char"/>
    <w:basedOn w:val="726"/>
    <w:uiPriority w:val="99"/>
  </w:style>
  <w:style w:type="paragraph" w:styleId="749">
    <w:name w:val="Caption"/>
    <w:basedOn w:val="716"/>
    <w:next w:val="716"/>
    <w:link w:val="7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0" w:customStyle="1">
    <w:name w:val="Caption Char"/>
    <w:uiPriority w:val="99"/>
  </w:style>
  <w:style w:type="table" w:styleId="751" w:customStyle="1">
    <w:name w:val="Table Grid Light"/>
    <w:basedOn w:val="72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2">
    <w:name w:val="Plain Table 1"/>
    <w:basedOn w:val="72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basedOn w:val="72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 w:customStyle="1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0" w:customStyle="1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1" w:customStyle="1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2" w:customStyle="1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3" w:customStyle="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4" w:customStyle="1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5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2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3" w:customStyle="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4" w:customStyle="1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5" w:customStyle="1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6" w:customStyle="1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7" w:customStyle="1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8" w:customStyle="1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9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2" w:customStyle="1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3" w:customStyle="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4" w:customStyle="1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5" w:customStyle="1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6" w:customStyle="1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7" w:customStyle="1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8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 &amp; 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3" w:customStyle="1">
    <w:name w:val="Bordered &amp; 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4" w:customStyle="1">
    <w:name w:val="Bordered &amp; 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5" w:customStyle="1">
    <w:name w:val="Bordered &amp; 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6" w:customStyle="1">
    <w:name w:val="Bordered &amp; 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7" w:customStyle="1">
    <w:name w:val="Bordered &amp; 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8" w:customStyle="1">
    <w:name w:val="Bordered &amp; 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9" w:customStyle="1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0" w:customStyle="1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1" w:customStyle="1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2" w:customStyle="1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3" w:customStyle="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4" w:customStyle="1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5" w:customStyle="1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6">
    <w:name w:val="footnote text"/>
    <w:basedOn w:val="716"/>
    <w:link w:val="877"/>
    <w:uiPriority w:val="99"/>
    <w:semiHidden/>
    <w:unhideWhenUsed/>
    <w:pPr>
      <w:spacing w:after="40"/>
    </w:pPr>
    <w:rPr>
      <w:sz w:val="18"/>
    </w:rPr>
  </w:style>
  <w:style w:type="character" w:styleId="877" w:customStyle="1">
    <w:name w:val="Текст сноски Знак"/>
    <w:link w:val="876"/>
    <w:uiPriority w:val="99"/>
    <w:rPr>
      <w:sz w:val="18"/>
    </w:rPr>
  </w:style>
  <w:style w:type="character" w:styleId="878">
    <w:name w:val="footnote reference"/>
    <w:basedOn w:val="726"/>
    <w:uiPriority w:val="99"/>
    <w:unhideWhenUsed/>
    <w:rPr>
      <w:vertAlign w:val="superscript"/>
    </w:rPr>
  </w:style>
  <w:style w:type="paragraph" w:styleId="879">
    <w:name w:val="endnote text"/>
    <w:basedOn w:val="716"/>
    <w:link w:val="880"/>
    <w:uiPriority w:val="99"/>
    <w:semiHidden/>
    <w:unhideWhenUsed/>
  </w:style>
  <w:style w:type="character" w:styleId="880" w:customStyle="1">
    <w:name w:val="Текст концевой сноски Знак"/>
    <w:link w:val="879"/>
    <w:uiPriority w:val="99"/>
    <w:rPr>
      <w:sz w:val="20"/>
    </w:rPr>
  </w:style>
  <w:style w:type="character" w:styleId="881">
    <w:name w:val="endnote reference"/>
    <w:basedOn w:val="726"/>
    <w:uiPriority w:val="99"/>
    <w:semiHidden/>
    <w:unhideWhenUsed/>
    <w:rPr>
      <w:vertAlign w:val="superscript"/>
    </w:rPr>
  </w:style>
  <w:style w:type="paragraph" w:styleId="882">
    <w:name w:val="toc 1"/>
    <w:basedOn w:val="716"/>
    <w:next w:val="716"/>
    <w:uiPriority w:val="39"/>
    <w:unhideWhenUsed/>
    <w:pPr>
      <w:spacing w:after="57"/>
    </w:pPr>
  </w:style>
  <w:style w:type="paragraph" w:styleId="883">
    <w:name w:val="toc 2"/>
    <w:basedOn w:val="716"/>
    <w:next w:val="716"/>
    <w:uiPriority w:val="39"/>
    <w:unhideWhenUsed/>
    <w:pPr>
      <w:ind w:left="283"/>
      <w:spacing w:after="57"/>
    </w:pPr>
  </w:style>
  <w:style w:type="paragraph" w:styleId="884">
    <w:name w:val="toc 3"/>
    <w:basedOn w:val="716"/>
    <w:next w:val="716"/>
    <w:uiPriority w:val="39"/>
    <w:unhideWhenUsed/>
    <w:pPr>
      <w:ind w:left="567"/>
      <w:spacing w:after="57"/>
    </w:pPr>
  </w:style>
  <w:style w:type="paragraph" w:styleId="885">
    <w:name w:val="toc 4"/>
    <w:basedOn w:val="716"/>
    <w:next w:val="716"/>
    <w:uiPriority w:val="39"/>
    <w:unhideWhenUsed/>
    <w:pPr>
      <w:ind w:left="850"/>
      <w:spacing w:after="57"/>
    </w:pPr>
  </w:style>
  <w:style w:type="paragraph" w:styleId="886">
    <w:name w:val="toc 5"/>
    <w:basedOn w:val="716"/>
    <w:next w:val="716"/>
    <w:uiPriority w:val="39"/>
    <w:unhideWhenUsed/>
    <w:pPr>
      <w:ind w:left="1134"/>
      <w:spacing w:after="57"/>
    </w:pPr>
  </w:style>
  <w:style w:type="paragraph" w:styleId="887">
    <w:name w:val="toc 6"/>
    <w:basedOn w:val="716"/>
    <w:next w:val="716"/>
    <w:uiPriority w:val="39"/>
    <w:unhideWhenUsed/>
    <w:pPr>
      <w:ind w:left="1417"/>
      <w:spacing w:after="57"/>
    </w:pPr>
  </w:style>
  <w:style w:type="paragraph" w:styleId="888">
    <w:name w:val="toc 7"/>
    <w:basedOn w:val="716"/>
    <w:next w:val="716"/>
    <w:uiPriority w:val="39"/>
    <w:unhideWhenUsed/>
    <w:pPr>
      <w:ind w:left="1701"/>
      <w:spacing w:after="57"/>
    </w:pPr>
  </w:style>
  <w:style w:type="paragraph" w:styleId="889">
    <w:name w:val="toc 8"/>
    <w:basedOn w:val="716"/>
    <w:next w:val="716"/>
    <w:uiPriority w:val="39"/>
    <w:unhideWhenUsed/>
    <w:pPr>
      <w:ind w:left="1984"/>
      <w:spacing w:after="57"/>
    </w:pPr>
  </w:style>
  <w:style w:type="paragraph" w:styleId="890">
    <w:name w:val="toc 9"/>
    <w:basedOn w:val="716"/>
    <w:next w:val="716"/>
    <w:uiPriority w:val="39"/>
    <w:unhideWhenUsed/>
    <w:pPr>
      <w:ind w:left="2268"/>
      <w:spacing w:after="57"/>
    </w:pPr>
  </w:style>
  <w:style w:type="paragraph" w:styleId="891">
    <w:name w:val="TOC Heading"/>
    <w:uiPriority w:val="39"/>
    <w:unhideWhenUsed/>
  </w:style>
  <w:style w:type="paragraph" w:styleId="892">
    <w:name w:val="table of figures"/>
    <w:basedOn w:val="716"/>
    <w:next w:val="716"/>
    <w:uiPriority w:val="99"/>
    <w:unhideWhenUsed/>
  </w:style>
  <w:style w:type="character" w:styleId="893" w:customStyle="1">
    <w:name w:val="Заголовок 1 Знак"/>
    <w:basedOn w:val="726"/>
    <w:link w:val="717"/>
    <w:uiPriority w:val="99"/>
    <w:rPr>
      <w:rFonts w:ascii="Cambria" w:hAnsi="Cambria" w:cs="Times New Roman"/>
      <w:b/>
      <w:bCs/>
      <w:sz w:val="32"/>
      <w:szCs w:val="32"/>
    </w:rPr>
  </w:style>
  <w:style w:type="character" w:styleId="894" w:customStyle="1">
    <w:name w:val="Заголовок 2 Знак"/>
    <w:basedOn w:val="726"/>
    <w:link w:val="718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95" w:customStyle="1">
    <w:name w:val="Заголовок 3 Знак"/>
    <w:basedOn w:val="726"/>
    <w:link w:val="719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896" w:customStyle="1">
    <w:name w:val="Заголовок 4 Знак"/>
    <w:basedOn w:val="726"/>
    <w:link w:val="720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897" w:customStyle="1">
    <w:name w:val="Заголовок 5 Знак"/>
    <w:basedOn w:val="726"/>
    <w:link w:val="721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898" w:customStyle="1">
    <w:name w:val="Заголовок 6 Знак"/>
    <w:basedOn w:val="726"/>
    <w:link w:val="722"/>
    <w:uiPriority w:val="99"/>
    <w:semiHidden/>
    <w:rPr>
      <w:rFonts w:ascii="Calibri" w:hAnsi="Calibri" w:cs="Times New Roman"/>
      <w:b/>
      <w:bCs/>
    </w:rPr>
  </w:style>
  <w:style w:type="character" w:styleId="899" w:customStyle="1">
    <w:name w:val="Заголовок 7 Знак"/>
    <w:basedOn w:val="726"/>
    <w:link w:val="723"/>
    <w:uiPriority w:val="99"/>
    <w:semiHidden/>
    <w:rPr>
      <w:rFonts w:ascii="Calibri" w:hAnsi="Calibri" w:cs="Times New Roman"/>
      <w:sz w:val="24"/>
      <w:szCs w:val="24"/>
    </w:rPr>
  </w:style>
  <w:style w:type="character" w:styleId="900" w:customStyle="1">
    <w:name w:val="Заголовок 8 Знак"/>
    <w:basedOn w:val="726"/>
    <w:link w:val="724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901" w:customStyle="1">
    <w:name w:val="Заголовок 9 Знак"/>
    <w:basedOn w:val="726"/>
    <w:link w:val="725"/>
    <w:uiPriority w:val="99"/>
    <w:semiHidden/>
    <w:rPr>
      <w:rFonts w:ascii="Cambria" w:hAnsi="Cambria" w:cs="Times New Roman"/>
    </w:rPr>
  </w:style>
  <w:style w:type="paragraph" w:styleId="902" w:customStyle="1">
    <w:name w:val="заголовок 1"/>
    <w:basedOn w:val="716"/>
    <w:next w:val="716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903" w:customStyle="1">
    <w:name w:val="заголовок 2"/>
    <w:basedOn w:val="716"/>
    <w:next w:val="716"/>
    <w:uiPriority w:val="99"/>
    <w:pPr>
      <w:jc w:val="center"/>
      <w:keepNext/>
      <w:outlineLvl w:val="1"/>
    </w:pPr>
    <w:rPr>
      <w:sz w:val="28"/>
      <w:szCs w:val="28"/>
    </w:rPr>
  </w:style>
  <w:style w:type="character" w:styleId="904" w:customStyle="1">
    <w:name w:val="Основной шрифт"/>
    <w:uiPriority w:val="99"/>
  </w:style>
  <w:style w:type="paragraph" w:styleId="905">
    <w:name w:val="Header"/>
    <w:basedOn w:val="716"/>
    <w:link w:val="906"/>
    <w:uiPriority w:val="99"/>
    <w:pPr>
      <w:tabs>
        <w:tab w:val="center" w:pos="4153" w:leader="none"/>
        <w:tab w:val="right" w:pos="8306" w:leader="none"/>
      </w:tabs>
    </w:pPr>
  </w:style>
  <w:style w:type="character" w:styleId="906" w:customStyle="1">
    <w:name w:val="Верхний колонтитул Знак"/>
    <w:basedOn w:val="726"/>
    <w:link w:val="905"/>
    <w:uiPriority w:val="99"/>
    <w:rPr>
      <w:rFonts w:cs="Times New Roman"/>
      <w:sz w:val="20"/>
      <w:szCs w:val="20"/>
    </w:rPr>
  </w:style>
  <w:style w:type="character" w:styleId="907" w:customStyle="1">
    <w:name w:val="номер страницы"/>
    <w:basedOn w:val="904"/>
    <w:uiPriority w:val="99"/>
    <w:rPr>
      <w:rFonts w:cs="Times New Roman"/>
    </w:rPr>
  </w:style>
  <w:style w:type="paragraph" w:styleId="908">
    <w:name w:val="Body Text"/>
    <w:basedOn w:val="716"/>
    <w:link w:val="909"/>
    <w:uiPriority w:val="99"/>
    <w:pPr>
      <w:jc w:val="both"/>
    </w:pPr>
    <w:rPr>
      <w:sz w:val="28"/>
      <w:szCs w:val="28"/>
    </w:rPr>
  </w:style>
  <w:style w:type="character" w:styleId="909" w:customStyle="1">
    <w:name w:val="Основной текст Знак"/>
    <w:basedOn w:val="726"/>
    <w:link w:val="908"/>
    <w:uiPriority w:val="99"/>
    <w:semiHidden/>
    <w:rPr>
      <w:rFonts w:cs="Times New Roman"/>
      <w:sz w:val="20"/>
      <w:szCs w:val="20"/>
    </w:rPr>
  </w:style>
  <w:style w:type="paragraph" w:styleId="910">
    <w:name w:val="Body Text 2"/>
    <w:basedOn w:val="716"/>
    <w:link w:val="911"/>
    <w:uiPriority w:val="99"/>
    <w:pPr>
      <w:jc w:val="both"/>
    </w:pPr>
    <w:rPr>
      <w:sz w:val="28"/>
      <w:szCs w:val="28"/>
    </w:rPr>
  </w:style>
  <w:style w:type="character" w:styleId="911" w:customStyle="1">
    <w:name w:val="Основной текст 2 Знак"/>
    <w:basedOn w:val="726"/>
    <w:link w:val="910"/>
    <w:uiPriority w:val="99"/>
    <w:semiHidden/>
    <w:rPr>
      <w:rFonts w:cs="Times New Roman"/>
      <w:sz w:val="20"/>
      <w:szCs w:val="20"/>
    </w:rPr>
  </w:style>
  <w:style w:type="paragraph" w:styleId="912">
    <w:name w:val="Body Text Indent 2"/>
    <w:basedOn w:val="716"/>
    <w:link w:val="913"/>
    <w:uiPriority w:val="99"/>
    <w:pPr>
      <w:ind w:firstLine="709"/>
      <w:jc w:val="both"/>
    </w:pPr>
    <w:rPr>
      <w:sz w:val="28"/>
      <w:szCs w:val="28"/>
    </w:rPr>
  </w:style>
  <w:style w:type="character" w:styleId="913" w:customStyle="1">
    <w:name w:val="Основной текст с отступом 2 Знак"/>
    <w:basedOn w:val="726"/>
    <w:link w:val="912"/>
    <w:uiPriority w:val="99"/>
    <w:semiHidden/>
    <w:rPr>
      <w:rFonts w:cs="Times New Roman"/>
      <w:sz w:val="20"/>
      <w:szCs w:val="20"/>
    </w:rPr>
  </w:style>
  <w:style w:type="paragraph" w:styleId="914">
    <w:name w:val="Footer"/>
    <w:basedOn w:val="716"/>
    <w:link w:val="915"/>
    <w:uiPriority w:val="99"/>
    <w:pPr>
      <w:tabs>
        <w:tab w:val="center" w:pos="4153" w:leader="none"/>
        <w:tab w:val="right" w:pos="8306" w:leader="none"/>
      </w:tabs>
    </w:pPr>
  </w:style>
  <w:style w:type="character" w:styleId="915" w:customStyle="1">
    <w:name w:val="Нижний колонтитул Знак"/>
    <w:basedOn w:val="726"/>
    <w:link w:val="914"/>
    <w:uiPriority w:val="99"/>
    <w:rPr>
      <w:rFonts w:cs="Times New Roman"/>
      <w:sz w:val="20"/>
      <w:szCs w:val="20"/>
    </w:rPr>
  </w:style>
  <w:style w:type="paragraph" w:styleId="916">
    <w:name w:val="Body Text Indent 3"/>
    <w:basedOn w:val="716"/>
    <w:link w:val="917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17" w:customStyle="1">
    <w:name w:val="Основной текст с отступом 3 Знак"/>
    <w:basedOn w:val="726"/>
    <w:link w:val="916"/>
    <w:uiPriority w:val="99"/>
    <w:semiHidden/>
    <w:rPr>
      <w:rFonts w:cs="Times New Roman"/>
      <w:sz w:val="16"/>
      <w:szCs w:val="16"/>
    </w:rPr>
  </w:style>
  <w:style w:type="paragraph" w:styleId="918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19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20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21">
    <w:name w:val="Table Grid"/>
    <w:basedOn w:val="727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2">
    <w:name w:val="Body Text Indent"/>
    <w:basedOn w:val="716"/>
    <w:link w:val="923"/>
    <w:uiPriority w:val="99"/>
    <w:pPr>
      <w:ind w:left="283"/>
      <w:spacing w:after="120"/>
    </w:pPr>
  </w:style>
  <w:style w:type="character" w:styleId="923" w:customStyle="1">
    <w:name w:val="Основной текст с отступом Знак"/>
    <w:basedOn w:val="726"/>
    <w:link w:val="922"/>
    <w:uiPriority w:val="99"/>
    <w:semiHidden/>
    <w:rPr>
      <w:rFonts w:cs="Times New Roman"/>
      <w:sz w:val="20"/>
      <w:szCs w:val="20"/>
    </w:rPr>
  </w:style>
  <w:style w:type="paragraph" w:styleId="924">
    <w:name w:val="Balloon Text"/>
    <w:basedOn w:val="716"/>
    <w:link w:val="925"/>
    <w:uiPriority w:val="99"/>
    <w:semiHidden/>
    <w:rPr>
      <w:rFonts w:ascii="Tahoma" w:hAnsi="Tahoma" w:cs="Tahoma"/>
      <w:sz w:val="16"/>
      <w:szCs w:val="16"/>
    </w:rPr>
  </w:style>
  <w:style w:type="character" w:styleId="925" w:customStyle="1">
    <w:name w:val="Текст выноски Знак"/>
    <w:basedOn w:val="726"/>
    <w:link w:val="924"/>
    <w:uiPriority w:val="99"/>
    <w:semiHidden/>
    <w:rPr>
      <w:rFonts w:ascii="Tahoma" w:hAnsi="Tahoma" w:cs="Tahoma"/>
      <w:sz w:val="16"/>
      <w:szCs w:val="16"/>
    </w:rPr>
  </w:style>
  <w:style w:type="character" w:styleId="926">
    <w:name w:val="page number"/>
    <w:basedOn w:val="726"/>
    <w:uiPriority w:val="99"/>
    <w:rPr>
      <w:rFonts w:cs="Times New Roman"/>
    </w:rPr>
  </w:style>
  <w:style w:type="table" w:styleId="927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8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29">
    <w:name w:val="Hyperlink"/>
    <w:basedOn w:val="726"/>
    <w:uiPriority w:val="99"/>
    <w:semiHidden/>
    <w:unhideWhenUsed/>
    <w:rPr>
      <w:rFonts w:cs="Times New Roman"/>
      <w:color w:val="0000ff"/>
      <w:u w:val="single"/>
    </w:rPr>
  </w:style>
  <w:style w:type="paragraph" w:styleId="930" w:customStyle="1">
    <w:name w:val="ConsPlusCell"/>
    <w:uiPriority w:val="99"/>
    <w:pPr>
      <w:spacing w:after="0" w:line="240" w:lineRule="auto"/>
    </w:pPr>
    <w:rPr>
      <w:sz w:val="28"/>
      <w:szCs w:val="28"/>
    </w:rPr>
  </w:style>
  <w:style w:type="paragraph" w:styleId="931">
    <w:name w:val="List Paragraph"/>
    <w:basedOn w:val="716"/>
    <w:uiPriority w:val="34"/>
    <w:qFormat/>
    <w:pPr>
      <w:contextualSpacing/>
      <w:ind w:left="720"/>
    </w:pPr>
  </w:style>
  <w:style w:type="character" w:styleId="932">
    <w:name w:val="annotation reference"/>
    <w:basedOn w:val="726"/>
    <w:uiPriority w:val="99"/>
    <w:semiHidden/>
    <w:unhideWhenUsed/>
    <w:rPr>
      <w:sz w:val="16"/>
      <w:szCs w:val="16"/>
    </w:rPr>
  </w:style>
  <w:style w:type="paragraph" w:styleId="933">
    <w:name w:val="annotation text"/>
    <w:basedOn w:val="716"/>
    <w:link w:val="934"/>
    <w:uiPriority w:val="99"/>
    <w:semiHidden/>
    <w:unhideWhenUsed/>
  </w:style>
  <w:style w:type="character" w:styleId="934" w:customStyle="1">
    <w:name w:val="Текст примечания Знак"/>
    <w:basedOn w:val="726"/>
    <w:link w:val="933"/>
    <w:uiPriority w:val="99"/>
    <w:semiHidden/>
    <w:rPr>
      <w:sz w:val="20"/>
      <w:szCs w:val="20"/>
    </w:rPr>
  </w:style>
  <w:style w:type="paragraph" w:styleId="935">
    <w:name w:val="annotation subject"/>
    <w:basedOn w:val="933"/>
    <w:next w:val="933"/>
    <w:link w:val="936"/>
    <w:uiPriority w:val="99"/>
    <w:semiHidden/>
    <w:unhideWhenUsed/>
    <w:rPr>
      <w:b/>
      <w:bCs/>
    </w:rPr>
  </w:style>
  <w:style w:type="character" w:styleId="936" w:customStyle="1">
    <w:name w:val="Тема примечания Знак"/>
    <w:basedOn w:val="934"/>
    <w:link w:val="935"/>
    <w:uiPriority w:val="99"/>
    <w:semiHidden/>
    <w:rPr>
      <w:b/>
      <w:bCs/>
      <w:sz w:val="20"/>
      <w:szCs w:val="20"/>
    </w:rPr>
  </w:style>
  <w:style w:type="paragraph" w:styleId="937">
    <w:name w:val="Revision"/>
    <w:hidden/>
    <w:uiPriority w:val="99"/>
    <w:semiHidden/>
    <w:pPr>
      <w:spacing w:after="0" w:line="240" w:lineRule="auto"/>
    </w:pPr>
    <w:rPr>
      <w:sz w:val="20"/>
      <w:szCs w:val="20"/>
    </w:rPr>
  </w:style>
  <w:style w:type="paragraph" w:styleId="938">
    <w:name w:val="Normal (Web)"/>
    <w:basedOn w:val="716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939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20"/>
      <w:szCs w:val="20"/>
      <w:lang w:val="en-US" w:eastAsia="zh-CN"/>
    </w:rPr>
  </w:style>
  <w:style w:type="paragraph" w:styleId="940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1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hyperlink" Target="https://minstroy.nso.ru/page/91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349C1F-9E29-43B6-84D7-5645940F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/>
  <cp:keywords/>
  <dc:description/>
  <cp:revision>91</cp:revision>
  <dcterms:created xsi:type="dcterms:W3CDTF">2022-05-04T04:59:00Z</dcterms:created>
  <dcterms:modified xsi:type="dcterms:W3CDTF">2025-08-27T09:05:39Z</dcterms:modified>
</cp:coreProperties>
</file>