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1815" cy="655320"/>
                <wp:effectExtent l="0" t="0" r="635" b="0"/>
                <wp:docPr id="1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55181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5pt;height:51.60pt;mso-wrap-distance-left:0.00pt;mso-wrap-distance-top:0.00pt;mso-wrap-distance-right:0.00pt;mso-wrap-distance-bottom:0.00pt;" stroked="f">
                <v:path textboxrect="0,0,0,0"/>
                <v:imagedata r:id="rId18" o:title=""/>
              </v:shape>
            </w:pict>
          </mc:Fallback>
        </mc:AlternateContent>
      </w:r>
      <w:r/>
    </w:p>
    <w:p>
      <w:pPr>
        <w:pStyle w:val="889"/>
        <w:jc w:val="center"/>
      </w:pPr>
      <w:r/>
      <w:r/>
    </w:p>
    <w:p>
      <w:pPr>
        <w:pStyle w:val="88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ПРИКАЗ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889"/>
        <w:jc w:val="center"/>
      </w:pPr>
      <w:r/>
      <w:r/>
    </w:p>
    <w:tbl>
      <w:tblPr>
        <w:tblW w:w="0" w:type="auto"/>
        <w:tblLook w:val="01E0" w:firstRow="1" w:lastRow="1" w:firstColumn="1" w:lastColumn="1" w:noHBand="0" w:noVBand="0"/>
      </w:tblPr>
      <w:tblGrid>
        <w:gridCol w:w="4698"/>
        <w:gridCol w:w="4656"/>
      </w:tblGrid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pStyle w:val="8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</w:t>
            </w:r>
            <w:r>
              <w:rPr>
                <w:sz w:val="28"/>
                <w:szCs w:val="28"/>
              </w:rPr>
              <w:t xml:space="preserve">_</w:t>
            </w:r>
            <w:r>
              <w:rPr>
                <w:sz w:val="28"/>
                <w:szCs w:val="28"/>
              </w:rPr>
              <w:t xml:space="preserve">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jc w:val="right"/>
              <w:keepLines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___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9"/>
      </w:pPr>
      <w:r/>
      <w:r/>
    </w:p>
    <w:p>
      <w:pPr>
        <w:pStyle w:val="889"/>
        <w:jc w:val="center"/>
      </w:pPr>
      <w:r>
        <w:t xml:space="preserve">г. Новосибирск</w:t>
      </w:r>
      <w:r/>
    </w:p>
    <w:p>
      <w:pPr>
        <w:pStyle w:val="88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внесении изменений </w:t>
      </w:r>
      <w:r>
        <w:rPr>
          <w:rFonts w:eastAsiaTheme="minorHAnsi"/>
          <w:b/>
          <w:bCs/>
          <w:sz w:val="28"/>
          <w:szCs w:val="28"/>
          <w:highlight w:val="none"/>
          <w:lang w:eastAsia="en-US"/>
        </w:rPr>
        <w:t xml:space="preserve">в </w:t>
      </w:r>
      <w:hyperlink r:id="rId19" w:tooltip="Приказ Минстроя Новосибирской области от 01.04.2024 N 60-НПА &quot;О комиссии по соблюдению требований к служебному поведению государственных гражданских служащих и урегулированию конфликта интересов в министерстве строительства Новосибирской области&quot; ------------ Недействующая редакция {КонсультантПлюс}" w:history="1">
        <w:r>
          <w:rPr>
            <w:rFonts w:eastAsiaTheme="minorHAnsi"/>
            <w:b/>
            <w:bCs/>
            <w:sz w:val="28"/>
            <w:szCs w:val="28"/>
            <w:highlight w:val="none"/>
            <w:lang w:eastAsia="en-US"/>
          </w:rPr>
          <w:t xml:space="preserve">приказ</w:t>
        </w:r>
      </w:hyperlink>
      <w:r>
        <w:rPr>
          <w:rFonts w:eastAsiaTheme="minorHAnsi"/>
          <w:b/>
          <w:bCs/>
          <w:sz w:val="28"/>
          <w:szCs w:val="28"/>
          <w:highlight w:val="none"/>
          <w:lang w:eastAsia="en-US"/>
        </w:rPr>
        <w:t xml:space="preserve"> министерства строитель</w:t>
      </w:r>
      <w:r>
        <w:rPr>
          <w:rFonts w:eastAsiaTheme="minorHAnsi"/>
          <w:b/>
          <w:bCs/>
          <w:sz w:val="28"/>
          <w:szCs w:val="28"/>
          <w:highlight w:val="none"/>
          <w:lang w:eastAsia="en-US"/>
        </w:rPr>
        <w:t xml:space="preserve">ства Новосибирской области от 01.04.2024 № 60-НПА</w:t>
      </w:r>
      <w:r>
        <w:rPr>
          <w:rFonts w:eastAsiaTheme="minorHAnsi"/>
          <w:b/>
          <w:bCs/>
          <w:sz w:val="28"/>
          <w:szCs w:val="28"/>
        </w:rPr>
      </w:r>
      <w:r>
        <w:rPr>
          <w:rFonts w:eastAsiaTheme="minorHAnsi"/>
          <w:b/>
          <w:bCs/>
          <w:sz w:val="28"/>
          <w:szCs w:val="28"/>
        </w:rPr>
      </w:r>
    </w:p>
    <w:p>
      <w:pPr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</w:r>
      <w:r>
        <w:rPr>
          <w:rFonts w:eastAsiaTheme="minorHAnsi"/>
          <w:b/>
          <w:bCs/>
          <w:sz w:val="28"/>
          <w:szCs w:val="28"/>
        </w:rPr>
      </w:r>
      <w:r>
        <w:rPr>
          <w:rFonts w:eastAsiaTheme="minorHAnsi"/>
          <w:b/>
          <w:bCs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Theme="minorHAnsi"/>
          <w:b w:val="0"/>
          <w:bCs w:val="0"/>
          <w:sz w:val="28"/>
          <w:szCs w:val="28"/>
          <w:highlight w:val="none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Theme="minorHAnsi"/>
          <w:b w:val="0"/>
          <w:bCs w:val="0"/>
          <w:sz w:val="28"/>
          <w:szCs w:val="28"/>
          <w:highlight w:val="none"/>
          <w:lang w:eastAsia="en-US"/>
        </w:rPr>
      </w:r>
      <w:r>
        <w:rPr>
          <w:rFonts w:eastAsiaTheme="minorHAnsi"/>
          <w:b w:val="0"/>
          <w:bCs w:val="0"/>
          <w:sz w:val="28"/>
          <w:szCs w:val="28"/>
          <w:highlight w:val="none"/>
          <w:lang w:eastAsia="en-US"/>
          <w14:ligatures w14:val="none"/>
        </w:rPr>
      </w:r>
      <w:r>
        <w:rPr>
          <w:rFonts w:eastAsiaTheme="minorHAnsi"/>
          <w:b w:val="0"/>
          <w:bCs w:val="0"/>
          <w:sz w:val="28"/>
          <w:szCs w:val="28"/>
          <w:highlight w:val="none"/>
          <w:lang w:eastAsia="en-US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Theme="minorHAnsi"/>
          <w:b/>
          <w:bCs/>
          <w:sz w:val="28"/>
          <w:szCs w:val="28"/>
          <w:highlight w:val="none"/>
          <w:lang w:eastAsia="en-US"/>
        </w:rPr>
        <w:t xml:space="preserve">П р и к а з ы в а ю: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Theme="minorHAnsi"/>
          <w:b w:val="0"/>
          <w:bCs w:val="0"/>
          <w:sz w:val="28"/>
          <w:szCs w:val="28"/>
          <w:highlight w:val="none"/>
          <w:lang w:eastAsia="en-US"/>
        </w:rPr>
        <w:t xml:space="preserve">Внести в </w:t>
      </w:r>
      <w:hyperlink r:id="rId20" w:tooltip="Приказ Минстроя Новосибирской области от 01.04.2024 N 60-НПА &quot;О комиссии по соблюдению требований к служебному поведению государственных гражданских служащих и урегулированию конфликта интересов в министерстве строительства Новосибирской области&quot; ------------ Недействующая редакция {КонсультантПлюс}" w:history="1">
        <w:r>
          <w:rPr>
            <w:rFonts w:eastAsiaTheme="minorHAnsi"/>
            <w:b w:val="0"/>
            <w:bCs w:val="0"/>
            <w:sz w:val="28"/>
            <w:szCs w:val="28"/>
            <w:highlight w:val="none"/>
            <w:lang w:eastAsia="en-US"/>
          </w:rPr>
          <w:t xml:space="preserve">приказ</w:t>
        </w:r>
      </w:hyperlink>
      <w:r>
        <w:rPr>
          <w:rFonts w:eastAsiaTheme="minorHAnsi"/>
          <w:b w:val="0"/>
          <w:bCs w:val="0"/>
          <w:sz w:val="28"/>
          <w:szCs w:val="28"/>
          <w:highlight w:val="none"/>
          <w:lang w:eastAsia="en-US"/>
        </w:rPr>
        <w:t xml:space="preserve"> министерства строитель</w:t>
      </w:r>
      <w:r>
        <w:rPr>
          <w:rFonts w:eastAsiaTheme="minorHAnsi"/>
          <w:b w:val="0"/>
          <w:bCs w:val="0"/>
          <w:sz w:val="28"/>
          <w:szCs w:val="28"/>
          <w:highlight w:val="none"/>
          <w:lang w:eastAsia="en-US"/>
        </w:rPr>
        <w:t xml:space="preserve">ства Новосибирской области от 01.04.2024 № 60-НПА «О комиссии по соблюдению требований к служебному поведению государственных гражданских служащих и урегулированию конфликта интересов в министерстве строительства Новосибирской области» следующие изменения: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rPr>
          <w:rFonts w:eastAsiaTheme="minorHAnsi"/>
          <w:b w:val="0"/>
          <w:bCs w:val="0"/>
          <w:sz w:val="28"/>
          <w:szCs w:val="28"/>
          <w:highlight w:val="none"/>
          <w:lang w:eastAsia="en-US"/>
          <w14:ligatures w14:val="none"/>
        </w:rPr>
      </w:pPr>
      <w:r>
        <w:rPr>
          <w:rFonts w:eastAsiaTheme="minorHAnsi"/>
          <w:b w:val="0"/>
          <w:bCs w:val="0"/>
          <w:sz w:val="28"/>
          <w:szCs w:val="28"/>
          <w:highlight w:val="none"/>
          <w:lang w:eastAsia="en-US"/>
        </w:rPr>
        <w:t xml:space="preserve">1. В </w:t>
      </w:r>
      <w:hyperlink r:id="rId21" w:tooltip="Приказ Минстроя Новосибирской области от 01.04.2024 N 60-НПА &quot;О комиссии по соблюдению требований к служебному поведению государственных гражданских служащих и урегулированию конфликта интересов в министерстве строительства Новосибирской области&quot; ------------ Недействующая редакция {КонсультантПлюс}" w:history="1">
        <w:r>
          <w:rPr>
            <w:rFonts w:eastAsiaTheme="minorHAnsi"/>
            <w:b w:val="0"/>
            <w:bCs w:val="0"/>
            <w:sz w:val="28"/>
            <w:szCs w:val="28"/>
            <w:highlight w:val="none"/>
            <w:lang w:eastAsia="en-US"/>
          </w:rPr>
          <w:t xml:space="preserve">Положении</w:t>
        </w:r>
      </w:hyperlink>
      <w:r>
        <w:rPr>
          <w:rFonts w:eastAsiaTheme="minorHAnsi"/>
          <w:b w:val="0"/>
          <w:bCs w:val="0"/>
          <w:sz w:val="28"/>
          <w:szCs w:val="28"/>
          <w:highlight w:val="none"/>
          <w:lang w:eastAsia="en-US"/>
        </w:rPr>
        <w:t xml:space="preserve"> о комиссии по соблюдению требований к служебному поведению государственных гражданских служащих и урегулированию конфликта интересов в министерстве строительства Новосибирской области:</w:t>
      </w:r>
      <w:r>
        <w:rPr>
          <w:rFonts w:eastAsiaTheme="minorHAnsi"/>
          <w:b w:val="0"/>
          <w:bCs w:val="0"/>
          <w:sz w:val="28"/>
          <w:szCs w:val="28"/>
          <w:highlight w:val="none"/>
          <w:lang w:eastAsia="en-US"/>
        </w:rPr>
      </w:r>
      <w:r>
        <w:rPr>
          <w:rFonts w:eastAsiaTheme="minorHAnsi"/>
          <w:b w:val="0"/>
          <w:bCs w:val="0"/>
          <w:sz w:val="28"/>
          <w:szCs w:val="28"/>
          <w:highlight w:val="none"/>
          <w:lang w:eastAsia="en-US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Theme="minorHAnsi"/>
          <w:b w:val="0"/>
          <w:bCs w:val="0"/>
          <w:sz w:val="28"/>
          <w:szCs w:val="28"/>
          <w:highlight w:val="none"/>
          <w:lang w:eastAsia="en-US"/>
        </w:rPr>
        <w:t xml:space="preserve"> </w:t>
      </w:r>
      <w:r>
        <w:rPr>
          <w:sz w:val="28"/>
          <w:szCs w:val="28"/>
          <w:highlight w:val="none"/>
          <w:lang w:eastAsia="en-US"/>
        </w:rPr>
        <w:t xml:space="preserve">Пункты 5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sz w:val="28"/>
          <w:szCs w:val="28"/>
          <w:highlight w:val="none"/>
          <w:lang w:eastAsia="en-US"/>
        </w:rPr>
        <w:t xml:space="preserve">7 изложить в следующей редакции: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eastAsia="en-US"/>
        </w:rPr>
        <w:t xml:space="preserve">«5. Комиссия образуется приказом министерства. Приказом министерства утверждаются состав комиссии и порядок ее работы, </w:t>
      </w:r>
      <w:r>
        <w:rPr>
          <w:sz w:val="28"/>
          <w:szCs w:val="28"/>
          <w:highlight w:val="none"/>
          <w:lang w:eastAsia="en-US"/>
        </w:rPr>
        <w:t xml:space="preserve">назначаются председатель комиссии, его заместитель, секретарь и определяются другие члены комиссии.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:lang w:eastAsia="en-US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eastAsia="en-US"/>
        </w:rPr>
        <w:t xml:space="preserve"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Theme="minorHAnsi"/>
          <w:b w:val="0"/>
          <w:bCs w:val="0"/>
          <w:sz w:val="28"/>
          <w:szCs w:val="28"/>
          <w:highlight w:val="none"/>
          <w:lang w:eastAsia="en-US"/>
        </w:rPr>
        <w:t xml:space="preserve">6.</w:t>
      </w:r>
      <w:r>
        <w:t xml:space="preserve"> </w:t>
      </w:r>
      <w:r>
        <w:rPr>
          <w:sz w:val="28"/>
          <w:szCs w:val="28"/>
        </w:rPr>
        <w:t xml:space="preserve">В состав комиссии входят: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 первый заместитель министра строительства Новосибирской области (председатель комиссии), </w:t>
      </w:r>
      <w:r>
        <w:rPr>
          <w:rFonts w:eastAsiaTheme="minorHAnsi"/>
          <w:b w:val="0"/>
          <w:bCs w:val="0"/>
          <w:sz w:val="28"/>
          <w:szCs w:val="28"/>
          <w:highlight w:val="none"/>
          <w:lang w:eastAsia="en-US"/>
        </w:rPr>
        <w:t xml:space="preserve">заместитель министра строительства Новосибирской области (заместитель председателя комиссии)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специалист кадровой службы, ответственный за работу по профилактике коррупционных и иных правонарушений (секретарь комиссии), руководитель или гражданские служащие подразд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еления по вопросам государственной гражданской службы и кадров, юридического (правового) подразделения, других подразделений министерства, определяемых министром строительства Новосибирской области (далее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министр);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0" w:right="0" w:firstLine="709"/>
        <w:jc w:val="both"/>
        <w:rPr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 представитель отдела по профилактике коррупционных и иных правонарушений администрации Губернатора Новосибирской области и Правительства Новосибирской области;</w:t>
      </w:r>
      <w:r>
        <w:rPr>
          <w:sz w:val="28"/>
          <w:szCs w:val="28"/>
          <w:highlight w:val="yellow"/>
        </w:rPr>
      </w:r>
    </w:p>
    <w:p>
      <w:pPr>
        <w:pStyle w:val="889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 </w:t>
      </w:r>
      <w:r>
        <w:rPr>
          <w:rFonts w:eastAsiaTheme="minorHAnsi"/>
          <w:b w:val="0"/>
          <w:bCs w:val="0"/>
          <w:sz w:val="28"/>
          <w:szCs w:val="28"/>
          <w:highlight w:val="none"/>
          <w:lang w:eastAsia="en-US"/>
        </w:rPr>
        <w:t xml:space="preserve">представитель (представители) научных организаций </w:t>
      </w:r>
      <w:r>
        <w:rPr>
          <w:rFonts w:eastAsiaTheme="minorHAnsi"/>
          <w:b w:val="0"/>
          <w:bCs w:val="0"/>
          <w:sz w:val="28"/>
          <w:szCs w:val="28"/>
          <w:highlight w:val="none"/>
          <w:lang w:eastAsia="en-US"/>
        </w:rPr>
        <w:t xml:space="preserve">и профессиональных образовательных организаций, образовательных организаций высшего образования и организаций дополнительного</w:t>
      </w:r>
      <w:r>
        <w:rPr>
          <w:rFonts w:eastAsiaTheme="minorHAnsi"/>
          <w:b w:val="0"/>
          <w:bCs w:val="0"/>
          <w:sz w:val="28"/>
          <w:szCs w:val="28"/>
          <w:highlight w:val="none"/>
          <w:lang w:eastAsia="en-US"/>
        </w:rPr>
        <w:t xml:space="preserve"> профессионального образования, деятельность которых связана с государственной сл</w:t>
      </w:r>
      <w:r>
        <w:rPr>
          <w:rFonts w:eastAsiaTheme="minorHAnsi"/>
          <w:b w:val="0"/>
          <w:bCs w:val="0"/>
          <w:sz w:val="28"/>
          <w:szCs w:val="28"/>
          <w:highlight w:val="none"/>
          <w:lang w:eastAsia="en-US"/>
        </w:rPr>
        <w:t xml:space="preserve">ужбой</w:t>
      </w:r>
      <w: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4) министр может принять решение о включении в состав комиссии представителя общественного совета, образованного в соответствии со </w:t>
      </w:r>
      <w:hyperlink r:id="rId22" w:tooltip="http://10.12.1.46/cons/cgi/online.cgi?req=doc&amp;base=RLAW049&amp;n=97927&amp;dst=100013&amp;field=134&amp;date=25.07.2025" w:history="1">
        <w:r>
          <w:rPr>
            <w:rStyle w:val="891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статьей 4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Закона Новосибирской области от 02.06.2015 № 551-ОЗ «Об отдельных вопросах организации и осуществления общественного контроля в Новосибирской области.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9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7. 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ица, указанные в </w:t>
      </w:r>
      <w:hyperlink r:id="rId23" w:tooltip="http://10.12.1.46/cons/cgi/online.cgi?req=doc&amp;base=RLAW049&amp;n=173337&amp;dst=100031&amp;field=134&amp;date=25.07.2025" w:history="1">
        <w:r>
          <w:rPr>
            <w:rStyle w:val="891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подпунктах 2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hyperlink r:id="rId24" w:tooltip="http://10.12.1.46/cons/cgi/online.cgi?req=doc&amp;base=RLAW049&amp;n=173337&amp;dst=100032&amp;field=134&amp;date=25.07.2025" w:history="1">
        <w:r>
          <w:rPr>
            <w:rStyle w:val="891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3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4 пункта 6 настоящего Положения, включаются в состав комиссии по согла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сованию: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89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 с отделом по профилактике коррупционных и иных правонарушений администрации Губернатора Новосибирской области и Правительства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89"/>
        <w:ind w:left="0" w:right="0" w:firstLine="709"/>
        <w:jc w:val="both"/>
        <w:rPr>
          <w:rFonts w:eastAsiaTheme="minorHAnsi"/>
          <w:b w:val="0"/>
          <w:bCs w:val="0"/>
          <w:sz w:val="28"/>
          <w:szCs w:val="28"/>
          <w:highlight w:val="none"/>
          <w:lang w:eastAsia="en-US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 с научными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организациями, </w:t>
      </w:r>
      <w:r>
        <w:rPr>
          <w:rFonts w:eastAsiaTheme="minorHAnsi"/>
          <w:b w:val="0"/>
          <w:bCs w:val="0"/>
          <w:sz w:val="28"/>
          <w:szCs w:val="28"/>
          <w:highlight w:val="none"/>
          <w:lang w:eastAsia="en-US"/>
        </w:rPr>
        <w:t xml:space="preserve">профессиональными образовательными организациями, образовательными организациями высшего образования и организациями дополнительного</w:t>
      </w:r>
      <w:r>
        <w:rPr>
          <w:rFonts w:eastAsiaTheme="minorHAnsi"/>
          <w:b w:val="0"/>
          <w:bCs w:val="0"/>
          <w:sz w:val="28"/>
          <w:szCs w:val="28"/>
          <w:highlight w:val="none"/>
          <w:lang w:eastAsia="en-US"/>
        </w:rPr>
        <w:t xml:space="preserve"> </w:t>
      </w:r>
      <w:r>
        <w:rPr>
          <w:rFonts w:eastAsiaTheme="minorHAnsi"/>
          <w:b w:val="0"/>
          <w:bCs w:val="0"/>
          <w:sz w:val="28"/>
          <w:szCs w:val="28"/>
          <w:highlight w:val="none"/>
          <w:lang w:eastAsia="en-US"/>
        </w:rPr>
        <w:t xml:space="preserve">профессионального образования, деятельность которых связана с государственной сл</w:t>
      </w:r>
      <w:r>
        <w:rPr>
          <w:rFonts w:eastAsiaTheme="minorHAnsi"/>
          <w:b w:val="0"/>
          <w:bCs w:val="0"/>
          <w:sz w:val="28"/>
          <w:szCs w:val="28"/>
          <w:highlight w:val="none"/>
          <w:lang w:eastAsia="en-US"/>
        </w:rPr>
        <w:t xml:space="preserve">ужбой</w:t>
      </w:r>
      <w:r>
        <w:t xml:space="preserve">, </w:t>
      </w:r>
      <w:r>
        <w:rPr>
          <w:rFonts w:eastAsiaTheme="minorHAnsi"/>
          <w:b w:val="0"/>
          <w:bCs w:val="0"/>
          <w:sz w:val="28"/>
          <w:szCs w:val="28"/>
          <w:highlight w:val="none"/>
          <w:lang w:eastAsia="en-US"/>
        </w:rPr>
        <w:t xml:space="preserve">общественным советом при министерстве строительства Новосибирской области.».</w:t>
      </w:r>
      <w:r>
        <w:rPr>
          <w:rFonts w:eastAsiaTheme="minorHAnsi"/>
          <w:b w:val="0"/>
          <w:bCs w:val="0"/>
          <w:sz w:val="28"/>
          <w:szCs w:val="28"/>
          <w:highlight w:val="none"/>
          <w:lang w:eastAsia="en-US"/>
        </w:rPr>
      </w:r>
      <w:r>
        <w:rPr>
          <w:rFonts w:eastAsiaTheme="minorHAnsi"/>
          <w:b w:val="0"/>
          <w:bCs w:val="0"/>
          <w:sz w:val="28"/>
          <w:szCs w:val="28"/>
          <w:highlight w:val="none"/>
          <w:lang w:eastAsia="en-US"/>
          <w14:ligatures w14:val="none"/>
        </w:rPr>
      </w:r>
    </w:p>
    <w:p>
      <w:pPr>
        <w:pStyle w:val="889"/>
        <w:ind w:left="0" w:right="0" w:firstLine="709"/>
        <w:jc w:val="both"/>
        <w:rPr>
          <w:rFonts w:eastAsiaTheme="minorHAnsi"/>
          <w:sz w:val="28"/>
          <w:szCs w:val="28"/>
          <w:highlight w:val="none"/>
          <w14:ligatures w14:val="none"/>
        </w:rPr>
      </w:pPr>
      <w:r>
        <w:rPr>
          <w:rFonts w:eastAsiaTheme="minorHAnsi"/>
          <w:b w:val="0"/>
          <w:bCs w:val="0"/>
          <w:sz w:val="28"/>
          <w:szCs w:val="28"/>
          <w:highlight w:val="none"/>
          <w:lang w:eastAsia="en-US"/>
        </w:rPr>
      </w:r>
      <w:r>
        <w:rPr>
          <w:sz w:val="28"/>
          <w:szCs w:val="28"/>
        </w:rPr>
        <w:t xml:space="preserve">2. В составе комиссии по соблюдению требований к служебному поведению государственных гражданских служащих и урегулированию конфликта интересов в министерстве строительства Новосибирской области:</w:t>
      </w:r>
      <w:r>
        <w:rPr>
          <w:sz w:val="28"/>
          <w:szCs w:val="28"/>
        </w:rPr>
      </w:r>
      <w:r>
        <w:rPr>
          <w:rFonts w:eastAsiaTheme="minorHAnsi"/>
          <w:sz w:val="28"/>
          <w:szCs w:val="28"/>
          <w:highlight w:val="none"/>
          <w14:ligatures w14:val="none"/>
        </w:rPr>
      </w:r>
    </w:p>
    <w:p>
      <w:pPr>
        <w:pStyle w:val="889"/>
        <w:ind w:left="0" w:right="0" w:firstLine="709"/>
        <w:jc w:val="both"/>
        <w:rPr>
          <w:rFonts w:eastAsiaTheme="minorHAnsi"/>
          <w:b w:val="0"/>
          <w:bCs w:val="0"/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наименование должности Кондрюковой Светланы Алексеевны изложить в следующей редакции: «начальник отдела организационно-контрольной и кадровой работы министерства строительства Новосибирской области».</w:t>
      </w:r>
      <w:r>
        <w:rPr>
          <w:sz w:val="28"/>
          <w:szCs w:val="28"/>
          <w:highlight w:val="none"/>
        </w:rPr>
      </w:r>
      <w:r>
        <w:rPr>
          <w:rFonts w:eastAsiaTheme="minorHAnsi"/>
          <w:b w:val="0"/>
          <w:bCs w:val="0"/>
          <w:sz w:val="28"/>
          <w:szCs w:val="28"/>
          <w:highlight w:val="none"/>
          <w14:ligatures w14:val="none"/>
        </w:rPr>
      </w:r>
    </w:p>
    <w:p>
      <w:pPr>
        <w:ind w:left="1058" w:right="0" w:firstLine="0"/>
        <w:jc w:val="both"/>
        <w:rPr>
          <w:rFonts w:eastAsiaTheme="minorHAnsi"/>
          <w:b w:val="0"/>
          <w:bCs w:val="0"/>
          <w:sz w:val="28"/>
          <w:szCs w:val="28"/>
          <w:highlight w:val="none"/>
        </w:rPr>
      </w:pPr>
      <w:r>
        <w:rPr>
          <w:rFonts w:eastAsiaTheme="minorHAnsi"/>
          <w:b w:val="0"/>
          <w:bCs w:val="0"/>
          <w:sz w:val="28"/>
          <w:szCs w:val="28"/>
          <w:highlight w:val="none"/>
          <w:lang w:eastAsia="en-US"/>
        </w:rPr>
        <w:t xml:space="preserve">3. Контроль за исполнением настоящего приказа оставляю за собой.</w:t>
      </w:r>
      <w:r>
        <w:rPr>
          <w:rFonts w:eastAsiaTheme="minorHAnsi"/>
          <w:b w:val="0"/>
          <w:bCs w:val="0"/>
          <w:sz w:val="28"/>
          <w:szCs w:val="28"/>
          <w:highlight w:val="none"/>
        </w:rPr>
      </w:r>
      <w:r>
        <w:rPr>
          <w:rFonts w:eastAsiaTheme="minorHAnsi"/>
          <w:b w:val="0"/>
          <w:bCs w:val="0"/>
          <w:sz w:val="28"/>
          <w:szCs w:val="28"/>
          <w:highlight w:val="none"/>
        </w:rPr>
      </w:r>
    </w:p>
    <w:p>
      <w:pPr>
        <w:ind w:right="0"/>
        <w:jc w:val="both"/>
        <w:rPr>
          <w:rFonts w:eastAsiaTheme="minorHAnsi"/>
          <w:b w:val="0"/>
          <w:bCs w:val="0"/>
          <w:sz w:val="28"/>
          <w:szCs w:val="28"/>
          <w:highlight w:val="none"/>
        </w:rPr>
      </w:pPr>
      <w:r>
        <w:rPr>
          <w:rFonts w:eastAsiaTheme="minorHAnsi"/>
          <w:b w:val="0"/>
          <w:bCs w:val="0"/>
          <w:sz w:val="28"/>
          <w:szCs w:val="28"/>
          <w:highlight w:val="none"/>
        </w:rPr>
      </w:r>
      <w:r>
        <w:rPr>
          <w:rFonts w:eastAsiaTheme="minorHAnsi"/>
          <w:b w:val="0"/>
          <w:bCs w:val="0"/>
          <w:sz w:val="28"/>
          <w:szCs w:val="28"/>
          <w:highlight w:val="none"/>
        </w:rPr>
      </w:r>
      <w:r>
        <w:rPr>
          <w:rFonts w:eastAsiaTheme="minorHAnsi"/>
          <w:b w:val="0"/>
          <w:bCs w:val="0"/>
          <w:sz w:val="28"/>
          <w:szCs w:val="28"/>
          <w:highlight w:val="none"/>
        </w:rPr>
      </w:r>
    </w:p>
    <w:p>
      <w:pPr>
        <w:ind w:right="0"/>
        <w:jc w:val="both"/>
        <w:rPr>
          <w:rFonts w:eastAsiaTheme="minorHAnsi"/>
          <w:b w:val="0"/>
          <w:bCs w:val="0"/>
          <w:sz w:val="28"/>
          <w:szCs w:val="28"/>
          <w:highlight w:val="none"/>
        </w:rPr>
      </w:pPr>
      <w:r>
        <w:rPr>
          <w:rFonts w:eastAsiaTheme="minorHAnsi"/>
          <w:b w:val="0"/>
          <w:bCs w:val="0"/>
          <w:sz w:val="28"/>
          <w:szCs w:val="28"/>
          <w:highlight w:val="none"/>
        </w:rPr>
      </w:r>
      <w:r>
        <w:rPr>
          <w:rFonts w:eastAsiaTheme="minorHAnsi"/>
          <w:b w:val="0"/>
          <w:bCs w:val="0"/>
          <w:sz w:val="28"/>
          <w:szCs w:val="28"/>
          <w:highlight w:val="none"/>
        </w:rPr>
      </w:r>
      <w:r>
        <w:rPr>
          <w:rFonts w:eastAsiaTheme="minorHAnsi"/>
          <w:b w:val="0"/>
          <w:bCs w:val="0"/>
          <w:sz w:val="28"/>
          <w:szCs w:val="28"/>
          <w:highlight w:val="none"/>
        </w:rPr>
      </w:r>
    </w:p>
    <w:p>
      <w:pPr>
        <w:ind w:right="0"/>
        <w:jc w:val="both"/>
        <w:rPr>
          <w:rFonts w:eastAsiaTheme="minorHAnsi"/>
          <w:b w:val="0"/>
          <w:bCs w:val="0"/>
          <w:sz w:val="28"/>
          <w:szCs w:val="28"/>
          <w:highlight w:val="none"/>
        </w:rPr>
      </w:pPr>
      <w:r>
        <w:rPr>
          <w:rFonts w:eastAsiaTheme="minorHAnsi"/>
          <w:b w:val="0"/>
          <w:bCs w:val="0"/>
          <w:sz w:val="28"/>
          <w:szCs w:val="28"/>
          <w:highlight w:val="none"/>
          <w:lang w:eastAsia="en-US"/>
        </w:rPr>
      </w:r>
      <w:r>
        <w:rPr>
          <w:rFonts w:eastAsiaTheme="minorHAnsi"/>
          <w:b w:val="0"/>
          <w:bCs w:val="0"/>
          <w:sz w:val="28"/>
          <w:szCs w:val="28"/>
          <w:highlight w:val="none"/>
        </w:rPr>
      </w:r>
      <w:r>
        <w:rPr>
          <w:rFonts w:eastAsiaTheme="minorHAnsi"/>
          <w:b w:val="0"/>
          <w:bCs w:val="0"/>
          <w:sz w:val="28"/>
          <w:szCs w:val="28"/>
          <w:highlight w:val="none"/>
        </w:rPr>
      </w:r>
    </w:p>
    <w:tbl>
      <w:tblPr>
        <w:tblStyle w:val="890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90"/>
        <w:gridCol w:w="4956"/>
      </w:tblGrid>
      <w:tr>
        <w:tblPrEx/>
        <w:trPr>
          <w:trHeight w:val="664"/>
        </w:trPr>
        <w:tc>
          <w:tcPr>
            <w:tcW w:w="4677" w:type="dxa"/>
            <w:textDirection w:val="lrTb"/>
            <w:noWrap w:val="false"/>
          </w:tcPr>
          <w:p>
            <w:pPr>
              <w:pStyle w:val="889"/>
              <w:ind w:left="-108"/>
              <w:jc w:val="both"/>
              <w:tabs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388" w:type="dxa"/>
            <w:textDirection w:val="lrTb"/>
            <w:noWrap w:val="false"/>
          </w:tcPr>
          <w:p>
            <w:pPr>
              <w:pStyle w:val="889"/>
              <w:jc w:val="right"/>
              <w:tabs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Д.Н. 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21"/>
        <w:jc w:val="both"/>
        <w:rPr>
          <w:sz w:val="20"/>
          <w:szCs w:val="20"/>
        </w:rPr>
      </w:pPr>
      <w:r>
        <w:rPr>
          <w:sz w:val="20"/>
          <w:szCs w:val="16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right="21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right="21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right="21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right="21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right="21"/>
        <w:jc w:val="both"/>
        <w:rPr>
          <w:sz w:val="20"/>
          <w:szCs w:val="20"/>
          <w:highlight w:val="none"/>
        </w:rPr>
      </w:pPr>
      <w:r>
        <w:rPr>
          <w:sz w:val="20"/>
          <w:szCs w:val="16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right="21"/>
        <w:jc w:val="both"/>
        <w:rPr>
          <w:sz w:val="20"/>
          <w:szCs w:val="20"/>
          <w:highlight w:val="none"/>
        </w:rPr>
      </w:pPr>
      <w:r>
        <w:rPr>
          <w:sz w:val="20"/>
          <w:szCs w:val="16"/>
        </w:rPr>
        <w:t xml:space="preserve">Н.В. Сухомлинова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right="2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0"/>
          <w:szCs w:val="16"/>
        </w:rPr>
        <w:t xml:space="preserve">228</w:t>
      </w:r>
      <w:r>
        <w:rPr>
          <w:sz w:val="20"/>
          <w:szCs w:val="16"/>
        </w:rPr>
        <w:t xml:space="preserve"> </w:t>
      </w:r>
      <w:r>
        <w:rPr>
          <w:sz w:val="20"/>
          <w:szCs w:val="16"/>
        </w:rPr>
        <w:t xml:space="preserve">64</w:t>
      </w:r>
      <w:r>
        <w:rPr>
          <w:sz w:val="20"/>
          <w:szCs w:val="16"/>
        </w:rPr>
        <w:t xml:space="preserve"> 19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shd w:val="nil"/>
        <w:rPr>
          <w:highlight w:val="none"/>
        </w:rPr>
        <w:sectPr>
          <w:headerReference w:type="default" r:id="rId9"/>
          <w:headerReference w:type="first" r:id="rId10"/>
          <w:footerReference w:type="default" r:id="rId13"/>
          <w:footerReference w:type="first" r:id="rId14"/>
          <w:footnotePr/>
          <w:endnotePr/>
          <w:type w:val="nextPage"/>
          <w:pgSz w:w="11905" w:h="16838" w:orient="portrait"/>
          <w:pgMar w:top="1134" w:right="850" w:bottom="1106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highlight w:val="none"/>
        </w:rPr>
      </w:r>
      <w:r>
        <w:rPr>
          <w:highlight w:val="none"/>
        </w:rPr>
      </w:r>
    </w:p>
    <w:p>
      <w:pPr>
        <w:shd w:val="nil" w:color="000000"/>
        <w:rPr>
          <w:highlight w:val="none"/>
        </w:rPr>
        <w:sectPr>
          <w:footnotePr/>
          <w:endnotePr/>
          <w:type w:val="continuous"/>
          <w:pgSz w:w="11905" w:h="16838" w:orient="portrait"/>
          <w:pgMar w:top="1134" w:right="850" w:bottom="1106" w:left="1701" w:header="709" w:footer="709" w:gutter="0"/>
          <w:cols w:num="1" w:sep="0" w:space="720" w:equalWidth="1"/>
          <w:docGrid w:linePitch="360"/>
          <w:titlePg/>
        </w:sect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89"/>
        <w:jc w:val="center"/>
        <w:rPr>
          <w:highlight w:val="none"/>
        </w:rPr>
      </w:pPr>
      <w:r>
        <w:t xml:space="preserve">СОГЛАСОВАНО:</w:t>
      </w:r>
      <w:r>
        <w:rPr>
          <w:highlight w:val="none"/>
        </w:rPr>
      </w:r>
      <w:r>
        <w:rPr>
          <w:highlight w:val="none"/>
        </w:rPr>
      </w:r>
    </w:p>
    <w:p>
      <w:pPr>
        <w:pStyle w:val="88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90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057"/>
        <w:gridCol w:w="3189"/>
      </w:tblGrid>
      <w:tr>
        <w:tblPrEx/>
        <w:trPr/>
        <w:tc>
          <w:tcPr>
            <w:tcW w:w="6057" w:type="dxa"/>
            <w:vMerge w:val="restart"/>
            <w:textDirection w:val="lrTb"/>
            <w:noWrap w:val="false"/>
          </w:tcPr>
          <w:p>
            <w:pPr>
              <w:pStyle w:val="889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министра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89" w:type="dxa"/>
            <w:vAlign w:val="bottom"/>
            <w:vMerge w:val="restart"/>
            <w:textDirection w:val="lrTb"/>
            <w:noWrap w:val="false"/>
          </w:tcPr>
          <w:p>
            <w:pPr>
              <w:pStyle w:val="889"/>
              <w:ind w:left="-108" w:right="-108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Д.С. Тимонов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89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«__»______________2025</w:t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6057" w:type="dxa"/>
            <w:textDirection w:val="lrTb"/>
            <w:noWrap w:val="false"/>
          </w:tcPr>
          <w:p>
            <w:pPr>
              <w:pStyle w:val="889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9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отдела правового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9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беспечения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9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89" w:type="dxa"/>
            <w:vAlign w:val="bottom"/>
            <w:textDirection w:val="lrTb"/>
            <w:noWrap w:val="false"/>
          </w:tcPr>
          <w:p>
            <w:pPr>
              <w:pStyle w:val="889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Г. Вольтер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9"/>
              <w:ind w:left="-108" w:right="-10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«_</w:t>
            </w:r>
            <w:r>
              <w:rPr>
                <w:sz w:val="28"/>
                <w:szCs w:val="28"/>
              </w:rPr>
              <w:t xml:space="preserve">_»_</w:t>
            </w:r>
            <w:r>
              <w:rPr>
                <w:sz w:val="28"/>
                <w:szCs w:val="28"/>
              </w:rPr>
              <w:t xml:space="preserve">_____________20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en-US"/>
              </w:rPr>
              <w:t xml:space="preserve">5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89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22"/>
        </w:trPr>
        <w:tc>
          <w:tcPr>
            <w:tcW w:w="6057" w:type="dxa"/>
            <w:textDirection w:val="lrTb"/>
            <w:noWrap w:val="false"/>
          </w:tcPr>
          <w:p>
            <w:pPr>
              <w:pStyle w:val="889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отдела организационно-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9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контрольной и кадровой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89" w:type="dxa"/>
            <w:vAlign w:val="bottom"/>
            <w:textDirection w:val="lrTb"/>
            <w:noWrap w:val="false"/>
          </w:tcPr>
          <w:p>
            <w:pPr>
              <w:pStyle w:val="889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Кондрюкова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9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</w:t>
            </w:r>
            <w:r>
              <w:rPr>
                <w:sz w:val="28"/>
                <w:szCs w:val="28"/>
              </w:rPr>
              <w:t xml:space="preserve">_»_</w:t>
            </w:r>
            <w:r>
              <w:rPr>
                <w:sz w:val="28"/>
                <w:szCs w:val="28"/>
              </w:rPr>
              <w:t xml:space="preserve">_____________20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9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22"/>
        </w:trPr>
        <w:tc>
          <w:tcPr>
            <w:tcW w:w="6057" w:type="dxa"/>
            <w:textDirection w:val="lrTb"/>
            <w:noWrap w:val="false"/>
          </w:tcPr>
          <w:p>
            <w:pPr>
              <w:pStyle w:val="889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89" w:type="dxa"/>
            <w:vAlign w:val="bottom"/>
            <w:textDirection w:val="lrTb"/>
            <w:noWrap w:val="false"/>
          </w:tcPr>
          <w:p>
            <w:pPr>
              <w:pStyle w:val="889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9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5670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16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1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21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21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21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«Список рассылки: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1) Прокуратура Новосибирской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2) Главное управление Министерства юстиции Российской Федерации по Новосибирской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3) Законодательное Собрание Новосибирской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 Размещение (опубликование) на «Официальном интернет-портале правовой информации» (</w:t>
      </w:r>
      <w:hyperlink r:id="rId25" w:tooltip="http://www.pravo.gov.ru)" w:history="1">
        <w:r>
          <w:rPr>
            <w:rStyle w:val="891"/>
            <w:color w:val="auto"/>
            <w:sz w:val="28"/>
            <w:szCs w:val="28"/>
          </w:rPr>
          <w:t xml:space="preserve">www.pravo.gov.ru)»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1"/>
      <w:headerReference w:type="first" r:id="rId12"/>
      <w:footerReference w:type="default" r:id="rId15"/>
      <w:footerReference w:type="first" r:id="rId16"/>
      <w:footnotePr/>
      <w:endnotePr/>
      <w:type w:val="nextPage"/>
      <w:pgSz w:w="11905" w:h="16838" w:orient="portrait"/>
      <w:pgMar w:top="1134" w:right="850" w:bottom="1106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jc w:val="center"/>
      <w:rPr>
        <w:sz w:val="20"/>
        <w:szCs w:val="20"/>
      </w:rPr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</w:p>
  <w:p>
    <w:pPr>
      <w:pStyle w:val="885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</w:pP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jc w:val="center"/>
      <w:rPr>
        <w:sz w:val="20"/>
        <w:szCs w:val="20"/>
      </w:rPr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</w:p>
  <w:p>
    <w:pPr>
      <w:pStyle w:val="885"/>
    </w:pP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3">
    <w:name w:val="Heading 1"/>
    <w:basedOn w:val="874"/>
    <w:next w:val="874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4">
    <w:name w:val="Heading 1 Char"/>
    <w:basedOn w:val="876"/>
    <w:link w:val="703"/>
    <w:uiPriority w:val="9"/>
    <w:rPr>
      <w:rFonts w:ascii="Arial" w:hAnsi="Arial" w:eastAsia="Arial" w:cs="Arial"/>
      <w:sz w:val="40"/>
      <w:szCs w:val="40"/>
    </w:rPr>
  </w:style>
  <w:style w:type="paragraph" w:styleId="705">
    <w:name w:val="Heading 2"/>
    <w:basedOn w:val="874"/>
    <w:next w:val="874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6">
    <w:name w:val="Heading 2 Char"/>
    <w:basedOn w:val="876"/>
    <w:link w:val="705"/>
    <w:uiPriority w:val="9"/>
    <w:rPr>
      <w:rFonts w:ascii="Arial" w:hAnsi="Arial" w:eastAsia="Arial" w:cs="Arial"/>
      <w:sz w:val="34"/>
    </w:rPr>
  </w:style>
  <w:style w:type="character" w:styleId="707">
    <w:name w:val="Heading 3 Char"/>
    <w:basedOn w:val="876"/>
    <w:link w:val="875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4"/>
    <w:next w:val="874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4"/>
    <w:next w:val="874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4"/>
    <w:next w:val="874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4"/>
    <w:next w:val="874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4"/>
    <w:next w:val="874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4"/>
    <w:next w:val="874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4"/>
    <w:next w:val="874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4"/>
    <w:next w:val="874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4"/>
    <w:next w:val="874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4"/>
    <w:next w:val="874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5"/>
    <w:uiPriority w:val="99"/>
  </w:style>
  <w:style w:type="character" w:styleId="729">
    <w:name w:val="Footer Char"/>
    <w:basedOn w:val="876"/>
    <w:link w:val="887"/>
    <w:uiPriority w:val="99"/>
  </w:style>
  <w:style w:type="paragraph" w:styleId="730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887"/>
    <w:uiPriority w:val="99"/>
  </w:style>
  <w:style w:type="table" w:styleId="732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1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2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3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4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5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6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basedOn w:val="876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basedOn w:val="876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>
    <w:name w:val="Heading 3"/>
    <w:basedOn w:val="874"/>
    <w:next w:val="874"/>
    <w:link w:val="882"/>
    <w:qFormat/>
    <w:pPr>
      <w:keepNext/>
      <w:outlineLvl w:val="2"/>
    </w:pPr>
    <w:rPr>
      <w:b/>
      <w:bCs/>
      <w:sz w:val="28"/>
    </w:r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0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paragraph" w:styleId="881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character" w:styleId="882" w:customStyle="1">
    <w:name w:val="Заголовок 3 Знак"/>
    <w:basedOn w:val="876"/>
    <w:link w:val="875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883">
    <w:name w:val="Balloon Text"/>
    <w:basedOn w:val="874"/>
    <w:link w:val="884"/>
    <w:uiPriority w:val="99"/>
    <w:semiHidden/>
    <w:unhideWhenUsed/>
    <w:rPr>
      <w:rFonts w:ascii="Tahoma" w:hAnsi="Tahoma" w:cs="Tahoma"/>
      <w:sz w:val="16"/>
      <w:szCs w:val="16"/>
    </w:rPr>
  </w:style>
  <w:style w:type="character" w:styleId="884" w:customStyle="1">
    <w:name w:val="Текст выноски Знак"/>
    <w:basedOn w:val="876"/>
    <w:link w:val="88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85">
    <w:name w:val="Header"/>
    <w:basedOn w:val="874"/>
    <w:link w:val="88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6" w:customStyle="1">
    <w:name w:val="Верхний колонтитул Знак"/>
    <w:basedOn w:val="876"/>
    <w:link w:val="88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7">
    <w:name w:val="Footer"/>
    <w:basedOn w:val="874"/>
    <w:link w:val="88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8" w:customStyle="1">
    <w:name w:val="Нижний колонтитул Знак"/>
    <w:basedOn w:val="876"/>
    <w:link w:val="88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9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90">
    <w:name w:val="Table Grid"/>
    <w:basedOn w:val="87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1">
    <w:name w:val="Hyperlink"/>
    <w:basedOn w:val="876"/>
    <w:uiPriority w:val="99"/>
    <w:unhideWhenUsed/>
    <w:rPr>
      <w:color w:val="0000ff" w:themeColor="hyperlink"/>
      <w:u w:val="single"/>
    </w:rPr>
  </w:style>
  <w:style w:type="paragraph" w:styleId="892">
    <w:name w:val="List Paragraph"/>
    <w:basedOn w:val="874"/>
    <w:uiPriority w:val="34"/>
    <w:qFormat/>
    <w:pPr>
      <w:contextualSpacing/>
      <w:ind w:left="720"/>
    </w:pPr>
  </w:style>
  <w:style w:type="character" w:styleId="893">
    <w:name w:val="annotation reference"/>
    <w:basedOn w:val="876"/>
    <w:uiPriority w:val="99"/>
    <w:semiHidden/>
    <w:unhideWhenUsed/>
    <w:rPr>
      <w:sz w:val="16"/>
      <w:szCs w:val="16"/>
    </w:rPr>
  </w:style>
  <w:style w:type="paragraph" w:styleId="894">
    <w:name w:val="annotation text"/>
    <w:basedOn w:val="874"/>
    <w:link w:val="895"/>
    <w:uiPriority w:val="99"/>
    <w:semiHidden/>
    <w:unhideWhenUsed/>
    <w:rPr>
      <w:sz w:val="20"/>
      <w:szCs w:val="20"/>
    </w:rPr>
  </w:style>
  <w:style w:type="character" w:styleId="895" w:customStyle="1">
    <w:name w:val="Текст примечания Знак"/>
    <w:basedOn w:val="876"/>
    <w:link w:val="894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96">
    <w:name w:val="annotation subject"/>
    <w:basedOn w:val="894"/>
    <w:next w:val="894"/>
    <w:link w:val="897"/>
    <w:uiPriority w:val="99"/>
    <w:semiHidden/>
    <w:unhideWhenUsed/>
    <w:rPr>
      <w:b/>
      <w:bCs/>
    </w:rPr>
  </w:style>
  <w:style w:type="character" w:styleId="897" w:customStyle="1">
    <w:name w:val="Тема примечания Знак"/>
    <w:basedOn w:val="895"/>
    <w:link w:val="896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98" w:customStyle="1">
    <w:name w:val="ConsPlusNonformat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footer" Target="footer4.xml" /><Relationship Id="rId17" Type="http://schemas.openxmlformats.org/officeDocument/2006/relationships/customXml" Target="../customXml/item1.xml" /><Relationship Id="rId18" Type="http://schemas.openxmlformats.org/officeDocument/2006/relationships/image" Target="media/image1.wmf"/><Relationship Id="rId19" Type="http://schemas.openxmlformats.org/officeDocument/2006/relationships/hyperlink" Target="http://10.12.1.46/cons/cgi/online.cgi?req=doc&amp;base=RLAW049&amp;n=171630&amp;date=24.07.2025" TargetMode="External"/><Relationship Id="rId20" Type="http://schemas.openxmlformats.org/officeDocument/2006/relationships/hyperlink" Target="http://10.12.1.46/cons/cgi/online.cgi?req=doc&amp;base=RLAW049&amp;n=171630&amp;date=24.07.2025" TargetMode="External"/><Relationship Id="rId21" Type="http://schemas.openxmlformats.org/officeDocument/2006/relationships/hyperlink" Target="http://10.12.1.46/cons/cgi/online.cgi?req=doc&amp;base=RLAW049&amp;n=171630&amp;date=24.07.2025&amp;dst=100021&amp;field=134" TargetMode="External"/><Relationship Id="rId22" Type="http://schemas.openxmlformats.org/officeDocument/2006/relationships/hyperlink" Target="http://10.12.1.46/cons/cgi/online.cgi?req=doc&amp;base=RLAW049&amp;n=97927&amp;dst=100013&amp;field=134&amp;date=25.07.2025" TargetMode="External"/><Relationship Id="rId23" Type="http://schemas.openxmlformats.org/officeDocument/2006/relationships/hyperlink" Target="http://10.12.1.46/cons/cgi/online.cgi?req=doc&amp;base=RLAW049&amp;n=173337&amp;dst=100031&amp;field=134&amp;date=25.07.2025" TargetMode="External"/><Relationship Id="rId24" Type="http://schemas.openxmlformats.org/officeDocument/2006/relationships/hyperlink" Target="http://10.12.1.46/cons/cgi/online.cgi?req=doc&amp;base=RLAW049&amp;n=173337&amp;dst=100032&amp;field=134&amp;date=25.07.2025" TargetMode="External"/><Relationship Id="rId25" Type="http://schemas.openxmlformats.org/officeDocument/2006/relationships/hyperlink" Target="http://www.pravo.gov.ru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E4D8D3-C2F4-4ED2-8FCD-2CFBE45E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Ржанова Жанна Викторовна</dc:creator>
  <cp:revision>10</cp:revision>
  <dcterms:created xsi:type="dcterms:W3CDTF">2024-10-14T09:10:00Z</dcterms:created>
  <dcterms:modified xsi:type="dcterms:W3CDTF">2025-07-30T07:59:04Z</dcterms:modified>
</cp:coreProperties>
</file>