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1E59" w:rsidRDefault="002D45EC">
      <w:pPr>
        <w:jc w:val="right"/>
      </w:pPr>
      <w:r>
        <w:t>Проект</w:t>
      </w:r>
    </w:p>
    <w:p w:rsidR="00791E59" w:rsidRDefault="002D45EC">
      <w:pPr>
        <w:jc w:val="right"/>
      </w:pPr>
      <w:r>
        <w:t>постановления Правительства</w:t>
      </w:r>
    </w:p>
    <w:p w:rsidR="00791E59" w:rsidRDefault="002D45EC">
      <w:pPr>
        <w:jc w:val="right"/>
      </w:pPr>
      <w:r>
        <w:t>Новосибирской области</w:t>
      </w:r>
    </w:p>
    <w:p w:rsidR="00791E59" w:rsidRDefault="00791E59">
      <w:pPr>
        <w:jc w:val="both"/>
        <w:rPr>
          <w:color w:val="000000"/>
        </w:rPr>
      </w:pPr>
    </w:p>
    <w:p w:rsidR="00791E59" w:rsidRDefault="00791E59"/>
    <w:p w:rsidR="00791E59" w:rsidRDefault="00791E59"/>
    <w:p w:rsidR="00791E59" w:rsidRDefault="00791E59"/>
    <w:p w:rsidR="00791E59" w:rsidRDefault="00791E59"/>
    <w:p w:rsidR="00791E59" w:rsidRDefault="00791E59"/>
    <w:p w:rsidR="00791E59" w:rsidRDefault="00791E59"/>
    <w:p w:rsidR="00791E59" w:rsidRDefault="00791E59"/>
    <w:p w:rsidR="00791E59" w:rsidRDefault="00791E59"/>
    <w:p w:rsidR="00791E59" w:rsidRDefault="00791E59"/>
    <w:p w:rsidR="00791E59" w:rsidRDefault="00791E59">
      <w:pPr>
        <w:jc w:val="center"/>
      </w:pPr>
    </w:p>
    <w:p w:rsidR="00791E59" w:rsidRDefault="002D45EC">
      <w:pPr>
        <w:widowControl w:val="0"/>
        <w:ind w:firstLine="220"/>
        <w:jc w:val="center"/>
        <w:rPr>
          <w:bCs/>
        </w:rPr>
      </w:pPr>
      <w:r>
        <w:rPr>
          <w:bCs/>
        </w:rPr>
        <w:t xml:space="preserve">О внесении изменений в постановление Правительства Новосибирской области </w:t>
      </w:r>
    </w:p>
    <w:p w:rsidR="00791E59" w:rsidRDefault="002D45EC">
      <w:pPr>
        <w:widowControl w:val="0"/>
        <w:ind w:firstLine="220"/>
        <w:jc w:val="center"/>
        <w:rPr>
          <w:bCs/>
        </w:rPr>
      </w:pPr>
      <w:r>
        <w:rPr>
          <w:bCs/>
        </w:rPr>
        <w:t xml:space="preserve">от 12.08.2015 </w:t>
      </w:r>
      <w:r>
        <w:t>№ 303-п</w:t>
      </w:r>
    </w:p>
    <w:p w:rsidR="00791E59" w:rsidRDefault="00791E59"/>
    <w:p w:rsidR="00791E59" w:rsidRDefault="002D45EC">
      <w:pPr>
        <w:ind w:firstLine="720"/>
      </w:pPr>
      <w:r>
        <w:rPr>
          <w:rFonts w:ascii="Times New Roman CYR" w:hAnsi="Times New Roman CYR"/>
        </w:rPr>
        <w:t xml:space="preserve">Правительство Новосибирской области </w:t>
      </w:r>
      <w:r>
        <w:rPr>
          <w:rFonts w:ascii="Times New Roman CYR" w:hAnsi="Times New Roman CYR"/>
          <w:b/>
        </w:rPr>
        <w:t>п о с </w:t>
      </w:r>
      <w:proofErr w:type="gramStart"/>
      <w:r>
        <w:rPr>
          <w:rFonts w:ascii="Times New Roman CYR" w:hAnsi="Times New Roman CYR"/>
          <w:b/>
        </w:rPr>
        <w:t>т</w:t>
      </w:r>
      <w:proofErr w:type="gramEnd"/>
      <w:r>
        <w:rPr>
          <w:rFonts w:ascii="Times New Roman CYR" w:hAnsi="Times New Roman CYR"/>
          <w:b/>
        </w:rPr>
        <w:t> а н о в л я е т: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Внести в постановление Правительства Новосибирской области от 12.08.2015 № 303-п «Об утверждении региональных нормативов градостроительного проектирования Новосибирской области» следующие изменения: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региональных нормативах градостроительного проектиро</w:t>
      </w:r>
      <w:r>
        <w:rPr>
          <w:rFonts w:ascii="Times New Roman" w:hAnsi="Times New Roman" w:cs="Times New Roman"/>
          <w:sz w:val="28"/>
          <w:szCs w:val="28"/>
        </w:rPr>
        <w:t>вания Новосибирской области: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в разделе II «Основная часть»: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в подпункте 4.1 пункта 4: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позицию 1 дополнить примечанием следующего содержания:</w:t>
      </w:r>
    </w:p>
    <w:p w:rsidR="00791E59" w:rsidRDefault="002D45EC">
      <w:pPr>
        <w:pStyle w:val="ConsPlusNormal"/>
        <w:ind w:firstLine="0"/>
        <w:jc w:val="both"/>
        <w:outlineLvl w:val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ff7"/>
        <w:tblW w:w="0" w:type="auto"/>
        <w:tblLook w:val="04A0" w:firstRow="1" w:lastRow="0" w:firstColumn="1" w:lastColumn="0" w:noHBand="0" w:noVBand="1"/>
      </w:tblPr>
      <w:tblGrid>
        <w:gridCol w:w="9912"/>
      </w:tblGrid>
      <w:tr w:rsidR="00791E59">
        <w:tc>
          <w:tcPr>
            <w:tcW w:w="10138" w:type="dxa"/>
          </w:tcPr>
          <w:p w:rsidR="00791E59" w:rsidRDefault="002D45EC">
            <w:pPr>
              <w:pStyle w:val="ConsPlusNormal"/>
              <w:ind w:firstLine="709"/>
              <w:jc w:val="both"/>
              <w:outlineLvl w:val="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Примечание: при проектировании сети улиц и дорог в населенном пункт</w:t>
            </w:r>
            <w:r>
              <w:rPr>
                <w:rFonts w:ascii="Times New Roman" w:hAnsi="Times New Roman" w:cs="Times New Roman"/>
              </w:rPr>
              <w:t>е следует создавать приоритетные условия для развития наземного пассажирского транспорта общего пользования, создавать условия для безопасного велосипедного и пешеходного движения, а также для движения лиц, использующих средства индивидуальной мобильности.</w:t>
            </w:r>
          </w:p>
          <w:p w:rsidR="00791E59" w:rsidRDefault="002D45EC">
            <w:pPr>
              <w:pStyle w:val="ConsPlusNormal"/>
              <w:ind w:firstLine="709"/>
              <w:jc w:val="both"/>
              <w:outlineLvl w:val="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 формировании инфраструктуры для движения лиц, использующих для передвижения средства индивидуальной мобильности, следует руководствоваться требованиями СП 396.1325800.2018 «Улицы и дороги населенных пунктов. Правила градостроительного проектирования».</w:t>
            </w:r>
          </w:p>
        </w:tc>
      </w:tr>
    </w:tbl>
    <w:p w:rsidR="00791E59" w:rsidRDefault="002D45EC">
      <w:pPr>
        <w:pStyle w:val="ConsPlusNormal"/>
        <w:ind w:left="8640"/>
        <w:jc w:val="both"/>
        <w:outlineLvl w:val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»;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позицию 1.1 изложить в следующей редакции:</w:t>
      </w:r>
    </w:p>
    <w:p w:rsidR="00791E59" w:rsidRDefault="002D45EC">
      <w:pPr>
        <w:jc w:val="both"/>
      </w:pPr>
      <w:r>
        <w:t>«</w:t>
      </w:r>
    </w:p>
    <w:tbl>
      <w:tblPr>
        <w:tblStyle w:val="aff7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2370"/>
        <w:gridCol w:w="2370"/>
        <w:gridCol w:w="1965"/>
        <w:gridCol w:w="2721"/>
      </w:tblGrid>
      <w:tr w:rsidR="00791E59">
        <w:tc>
          <w:tcPr>
            <w:tcW w:w="495" w:type="dxa"/>
            <w:vMerge w:val="restart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>
              <w:rPr>
                <w:color w:val="000000"/>
                <w:sz w:val="20"/>
                <w:szCs w:val="20"/>
              </w:rPr>
              <w:br/>
            </w:r>
          </w:p>
        </w:tc>
        <w:tc>
          <w:tcPr>
            <w:tcW w:w="2370" w:type="dxa"/>
            <w:vMerge w:val="restart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>: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велосипедные дорожки,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велосипедные полосы,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полосы для движения средств индивидуальной мобильности</w:t>
            </w:r>
          </w:p>
        </w:tc>
        <w:tc>
          <w:tcPr>
            <w:tcW w:w="7056" w:type="dxa"/>
            <w:gridSpan w:val="3"/>
            <w:tcBorders>
              <w:top w:val="singl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размещаются в муниципальных округах, городских округах и городских поселениях с численностью населения более 15 тыс. человек.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 проезжей части магистральных дорог скоростного движения, магистральных улиц общегородского значения устройство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других элементов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велотранспортной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инфраструктуры не допускается.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 магистральных улицах регулируемого движения допускается предусматривать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 краю проезжих частей, выделенные разделительными полосами.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 магистральных </w:t>
            </w:r>
            <w:r>
              <w:rPr>
                <w:color w:val="000000"/>
                <w:sz w:val="20"/>
                <w:szCs w:val="20"/>
              </w:rPr>
              <w:t xml:space="preserve">улицах районного значения допускается размещение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>, отделенных от полос движения транспорта разделителями движения (защитные столбики, защитные барьеры, разделительные бордюры, отделение велосипедной полосы элементами благоустройства, парков</w:t>
            </w:r>
            <w:r>
              <w:rPr>
                <w:color w:val="000000"/>
                <w:sz w:val="20"/>
                <w:szCs w:val="20"/>
              </w:rPr>
              <w:t>ка вдоль улицы).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Полосы для велосипедистов и лиц, использующих для передвижения средства индивидуальной мобильности, на проезжей части допускается устраивать на автомобильных дорогах с интенсивностью движения менее 2000 авт./</w:t>
            </w:r>
            <w:proofErr w:type="spellStart"/>
            <w:r>
              <w:rPr>
                <w:color w:val="000000"/>
                <w:sz w:val="20"/>
                <w:szCs w:val="20"/>
              </w:rPr>
              <w:t>сут</w:t>
            </w:r>
            <w:proofErr w:type="spellEnd"/>
            <w:r>
              <w:rPr>
                <w:color w:val="000000"/>
                <w:sz w:val="20"/>
                <w:szCs w:val="20"/>
              </w:rPr>
              <w:t>. (до 150 авт./ч)</w:t>
            </w:r>
          </w:p>
        </w:tc>
      </w:tr>
      <w:tr w:rsidR="00791E59">
        <w:tc>
          <w:tcPr>
            <w:tcW w:w="495" w:type="dxa"/>
            <w:vMerge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7056" w:type="dxa"/>
            <w:gridSpan w:val="3"/>
            <w:tcBorders>
              <w:top w:val="non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Основные параметры для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новое строительство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благоустройстве и в стесненных условиях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Расчетная скорость движения, км/ч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Минимальная ширина проезжей части для движения,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однополосного одностороннего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двухполосного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одностороннего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1,75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двухполосного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со встречным движением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Ширина велосипедной и пешеходной дорожки с разделением движения дорожной разметкой,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1,5 - 6,0 &lt;*&gt;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1,5 - 3,25 &lt;**&gt;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Ширина </w:t>
            </w:r>
            <w:proofErr w:type="spellStart"/>
            <w:r>
              <w:rPr>
                <w:color w:val="000000"/>
                <w:sz w:val="20"/>
                <w:szCs w:val="20"/>
              </w:rPr>
              <w:t>велопешеходной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дорожки,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1,5 - 3,0 &lt;***&gt;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1,5 - 2,0 &lt;****&gt;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7056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&lt;*&gt; - ширина пешеходной дорожки 1,5 м, велосипедной - 2,5 м;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&lt;**&gt; - ширина пешеходной дорожки 1,5 м, велосипедной - 1,75 м;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&lt;***&gt; - при интенсивности движения не более 30 </w:t>
            </w:r>
            <w:proofErr w:type="gramStart"/>
            <w:r>
              <w:rPr>
                <w:color w:val="000000"/>
                <w:sz w:val="20"/>
                <w:szCs w:val="20"/>
              </w:rPr>
              <w:t>вел./</w:t>
            </w:r>
            <w:proofErr w:type="gramEnd"/>
            <w:r>
              <w:rPr>
                <w:color w:val="000000"/>
                <w:sz w:val="20"/>
                <w:szCs w:val="20"/>
              </w:rPr>
              <w:t>ч и 15 пеш./ч;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&lt;****&gt; - при интенсивности движения не более 30 вел./ч и 50 пеш./ч</w:t>
            </w:r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Ширина полосы для велосипедистов и лиц, использующих для передвижения средства индивидуальной мобильности,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0,9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Ширина обочин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>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Наименьший радиус кривых в плане, м: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отсутствии виража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устройстве виража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975"/>
              </w:tabs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Наименьший радиус вертикальных кривых, м: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выпуклых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вогнутых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Габарит по высоте, м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2,25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Минимальное расстояние от края велодорожки, м: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кромки проезжей части дорог, деревьев;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тротуаров;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стоянок автомобилей и остановок общественного транспорта</w:t>
            </w:r>
          </w:p>
        </w:tc>
        <w:tc>
          <w:tcPr>
            <w:tcW w:w="196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  <w:tc>
          <w:tcPr>
            <w:tcW w:w="2721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vMerge w:val="restart"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Расчетный показатель минимально допустимого уровня обеспеченности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велокоммуникациями</w:t>
            </w:r>
            <w:proofErr w:type="spellEnd"/>
            <w:r>
              <w:rPr>
                <w:color w:val="000000"/>
                <w:sz w:val="20"/>
                <w:szCs w:val="20"/>
              </w:rPr>
              <w:t>, км</w:t>
            </w:r>
          </w:p>
        </w:tc>
        <w:tc>
          <w:tcPr>
            <w:tcW w:w="46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численности населения до 150 тыс. человек - 0,5 км на 5 тыс. человек;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численности населения свыше 150 тыс. человек - 0,5 км на 15 тыс. человек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non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Расчетный показатель максимально допустимого уровня обеспеченности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велокоммуникациями</w:t>
            </w:r>
            <w:proofErr w:type="spellEnd"/>
            <w:r>
              <w:rPr>
                <w:color w:val="000000"/>
                <w:sz w:val="20"/>
                <w:szCs w:val="20"/>
              </w:rPr>
              <w:t>, км</w:t>
            </w:r>
          </w:p>
        </w:tc>
        <w:tc>
          <w:tcPr>
            <w:tcW w:w="46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 нормируется</w:t>
            </w:r>
          </w:p>
        </w:tc>
      </w:tr>
      <w:tr w:rsidR="00791E59">
        <w:tc>
          <w:tcPr>
            <w:tcW w:w="495" w:type="dxa"/>
            <w:vMerge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2370" w:type="dxa"/>
            <w:vMerge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1E59" w:rsidRDefault="00791E59"/>
        </w:tc>
        <w:tc>
          <w:tcPr>
            <w:tcW w:w="7056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center" w:pos="3078"/>
              </w:tabs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Велопарковки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парковки средств индивидуальной мобильности устраиваются во</w:t>
            </w:r>
            <w:r>
              <w:rPr>
                <w:color w:val="000000"/>
                <w:sz w:val="20"/>
                <w:szCs w:val="20"/>
              </w:rPr>
              <w:t xml:space="preserve">зле учебных заведений, кинотеатров, магазинов площадью более 100 кв. м, торговых центров, обзорных площадок, музеев, пересадочных узлов, административных и офисных зданий и иных объектов. При их размещении следует руководствоваться требованиями пункта 9.5 </w:t>
            </w:r>
            <w:r>
              <w:rPr>
                <w:sz w:val="20"/>
                <w:szCs w:val="20"/>
              </w:rPr>
              <w:t>СП 396.1325800.2018 «Улицы и дороги населенных пунктов. Правила градостроительного проектирования»</w:t>
            </w:r>
          </w:p>
        </w:tc>
      </w:tr>
    </w:tbl>
    <w:p w:rsidR="00791E59" w:rsidRDefault="002D45EC">
      <w:pPr>
        <w:ind w:left="9072"/>
        <w:jc w:val="both"/>
      </w:pPr>
      <w:r>
        <w:t xml:space="preserve">         »;</w:t>
      </w:r>
    </w:p>
    <w:p w:rsidR="00791E59" w:rsidRDefault="00791E59">
      <w:pPr>
        <w:ind w:firstLine="709"/>
        <w:jc w:val="both"/>
      </w:pPr>
    </w:p>
    <w:p w:rsidR="00791E59" w:rsidRDefault="002D45EC">
      <w:pPr>
        <w:ind w:firstLine="709"/>
        <w:jc w:val="both"/>
      </w:pPr>
      <w:r>
        <w:t>б) в подпункте 5.2 пункта 5: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позицию 1 дополнить примечанием следующего содержания:</w:t>
      </w:r>
    </w:p>
    <w:p w:rsidR="00791E59" w:rsidRDefault="002D45EC">
      <w:pPr>
        <w:pStyle w:val="ConsPlusNormal"/>
        <w:ind w:firstLine="0"/>
        <w:jc w:val="both"/>
        <w:outlineLvl w:val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ff7"/>
        <w:tblW w:w="0" w:type="auto"/>
        <w:tblLook w:val="04A0" w:firstRow="1" w:lastRow="0" w:firstColumn="1" w:lastColumn="0" w:noHBand="0" w:noVBand="1"/>
      </w:tblPr>
      <w:tblGrid>
        <w:gridCol w:w="9912"/>
      </w:tblGrid>
      <w:tr w:rsidR="00791E59">
        <w:tc>
          <w:tcPr>
            <w:tcW w:w="10138" w:type="dxa"/>
          </w:tcPr>
          <w:p w:rsidR="00791E59" w:rsidRDefault="002D45EC">
            <w:pPr>
              <w:pStyle w:val="ConsPlusNormal"/>
              <w:ind w:firstLine="709"/>
              <w:jc w:val="both"/>
              <w:outlineLvl w:val="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Примечание: при проектировании сети улиц и дорог в населенном пункте следует создавать приоритетные условия для развития наземного пассажирского транспорта общего пользования, создавать условия для безопасного велосипедного и пешеходного движения, а также </w:t>
            </w:r>
            <w:r>
              <w:rPr>
                <w:rFonts w:ascii="Times New Roman" w:hAnsi="Times New Roman" w:cs="Times New Roman"/>
              </w:rPr>
              <w:t>для движения лиц, использующих средства индивидуальной мобильности.</w:t>
            </w:r>
          </w:p>
          <w:p w:rsidR="00791E59" w:rsidRDefault="002D45EC">
            <w:pPr>
              <w:pStyle w:val="ConsPlusNormal"/>
              <w:ind w:firstLine="709"/>
              <w:jc w:val="both"/>
              <w:outlineLvl w:val="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 формировании инфраструктуры для движения лиц, использующих для передвижения средства индивидуальной мобильности, следует руководствоваться требованиями СП 396.1325800.2018 «Улицы и дор</w:t>
            </w:r>
            <w:r>
              <w:rPr>
                <w:rFonts w:ascii="Times New Roman" w:hAnsi="Times New Roman" w:cs="Times New Roman"/>
              </w:rPr>
              <w:t>оги населенных пунктов. Правила градостроительного проектирования».</w:t>
            </w:r>
          </w:p>
        </w:tc>
      </w:tr>
    </w:tbl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»;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позицию 1.1 изложить в следующей редакции:</w:t>
      </w:r>
    </w:p>
    <w:p w:rsidR="00791E59" w:rsidRDefault="002D45EC">
      <w:pPr>
        <w:jc w:val="both"/>
      </w:pPr>
      <w:r>
        <w:t>«</w:t>
      </w:r>
    </w:p>
    <w:tbl>
      <w:tblPr>
        <w:tblStyle w:val="aff7"/>
        <w:tblW w:w="0" w:type="auto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495"/>
        <w:gridCol w:w="1860"/>
        <w:gridCol w:w="2370"/>
        <w:gridCol w:w="2190"/>
        <w:gridCol w:w="2115"/>
      </w:tblGrid>
      <w:tr w:rsidR="00791E59">
        <w:tc>
          <w:tcPr>
            <w:tcW w:w="495" w:type="dxa"/>
            <w:vMerge w:val="restart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color w:val="000000"/>
                <w:sz w:val="20"/>
                <w:szCs w:val="20"/>
              </w:rPr>
              <w:t>1.1</w:t>
            </w:r>
            <w:r>
              <w:rPr>
                <w:color w:val="000000"/>
                <w:sz w:val="19"/>
              </w:rPr>
              <w:br/>
            </w:r>
          </w:p>
        </w:tc>
        <w:tc>
          <w:tcPr>
            <w:tcW w:w="1860" w:type="dxa"/>
            <w:vMerge w:val="restart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>: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велосипедные дорожки,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велосипедные полосы,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полосы для движения средств индивидуальной мобильности</w:t>
            </w:r>
          </w:p>
          <w:p w:rsidR="00791E59" w:rsidRDefault="00791E5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</w:p>
        </w:tc>
        <w:tc>
          <w:tcPr>
            <w:tcW w:w="6675" w:type="dxa"/>
            <w:gridSpan w:val="3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размещаются в муниципальных округах, городских округах и городских поселениях с численностью населения более 15 тыс. человек.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 проезжей части магистральных дорог скоростного движения, магистральных улиц общегородского значения устройство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других элементов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велотранспортной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инфраструктуры не допускается.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 магистральных улицах регулируемого движения допускается предусматривать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 краю проезжих частей, выделенные разделительными полосами.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 магистральных </w:t>
            </w:r>
            <w:r>
              <w:rPr>
                <w:color w:val="000000"/>
                <w:sz w:val="20"/>
                <w:szCs w:val="20"/>
              </w:rPr>
              <w:t xml:space="preserve">улицах районного значения допускается размещение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>, отделенных от полос движения транспорта разделителями движения (защитные столбики, защитные барьеры, разделительные бордюры, отделение велосипедной полосы элементами благоустройства, парков</w:t>
            </w:r>
            <w:r>
              <w:rPr>
                <w:color w:val="000000"/>
                <w:sz w:val="20"/>
                <w:szCs w:val="20"/>
              </w:rPr>
              <w:t>ка вдоль улицы).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 местных улицах устройство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допускается в виде выделенной части полосы движения проезжей части или примыкающей к проезжей части с выделением велосипедной полосы цветом и/или разметкой при ограничении скорости не более 40 </w:t>
            </w:r>
            <w:r>
              <w:rPr>
                <w:color w:val="000000"/>
                <w:sz w:val="20"/>
                <w:szCs w:val="20"/>
              </w:rPr>
              <w:t>км/ч.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Полосы для велосипедистов и лиц, использующих для передвижения средства индивидуальной мобильности, на проезжей части допускается устраивать на обычных автомобильных дорогах с интенсивностью движения менее 2000 авт./</w:t>
            </w:r>
            <w:proofErr w:type="spellStart"/>
            <w:r>
              <w:rPr>
                <w:color w:val="000000"/>
                <w:sz w:val="20"/>
                <w:szCs w:val="20"/>
              </w:rPr>
              <w:t>сут</w:t>
            </w:r>
            <w:proofErr w:type="spellEnd"/>
            <w:r>
              <w:rPr>
                <w:color w:val="000000"/>
                <w:sz w:val="20"/>
                <w:szCs w:val="20"/>
              </w:rPr>
              <w:t>. (до 150 авт./ч)</w:t>
            </w:r>
          </w:p>
        </w:tc>
      </w:tr>
      <w:tr w:rsidR="00791E5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6675" w:type="dxa"/>
            <w:gridSpan w:val="3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Основные параметры для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color w:val="000000"/>
                <w:sz w:val="19"/>
              </w:rPr>
              <w:t> </w:t>
            </w:r>
          </w:p>
        </w:tc>
        <w:tc>
          <w:tcPr>
            <w:tcW w:w="1860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новое строительство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благоустройстве и в стесненных условиях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Расчетная скорость движения, км/ч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Минимальная ширина проезжей части для движения, м: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однополосного одностороннего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двухполосного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одностороннего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1,75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двухполосного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со встречным движением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Ширина велосипедной и пешеходной дорожки с разделением движения дорожной разметкой, м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1,5 - 6,0 &lt;*&gt;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1,5 - 3,25 &lt;**&gt;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Ширина </w:t>
            </w:r>
            <w:proofErr w:type="spellStart"/>
            <w:r>
              <w:rPr>
                <w:color w:val="000000"/>
                <w:sz w:val="20"/>
                <w:szCs w:val="20"/>
              </w:rPr>
              <w:t>велопешеходной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дорожки, м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1,5 - 3,0 &lt;***&gt;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1,5 - 2,0 &lt;****&gt;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66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&lt;*&gt; - ширина пешеходной дорожки 1,5 м, велосипедной - 2,5 м;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&lt;**&gt; - ширина пешеходной дорожки 1,5 м, велосипедной - 1,75 м;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&lt;***&gt; - при интенсивности движения не более 30 </w:t>
            </w:r>
            <w:proofErr w:type="gramStart"/>
            <w:r>
              <w:rPr>
                <w:color w:val="000000"/>
                <w:sz w:val="20"/>
                <w:szCs w:val="20"/>
              </w:rPr>
              <w:t>вел./</w:t>
            </w:r>
            <w:proofErr w:type="gramEnd"/>
            <w:r>
              <w:rPr>
                <w:color w:val="000000"/>
                <w:sz w:val="20"/>
                <w:szCs w:val="20"/>
              </w:rPr>
              <w:t>ч и 15 пеш./ч;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&lt;****&gt; - при интенсивности движения не более 30 вел./ч и 50 пеш./ч</w:t>
            </w:r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color w:val="000000"/>
                <w:sz w:val="19"/>
              </w:rPr>
              <w:t> </w:t>
            </w:r>
          </w:p>
        </w:tc>
        <w:tc>
          <w:tcPr>
            <w:tcW w:w="1860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Ширина полосы для велосипедистов и лиц, использующих для передвижения средства индивидуальной мобильности, м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0,9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Ширина обочин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>, м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Наименьший радиус кривых в плане, м: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отсутствии виража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устройстве виража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Наименьший радиус вертикальных кривых, м: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выпуклых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вогнутых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Габарит по высоте, м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2,25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Минимальное расстояние от края велодорожки, м: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кромки проезжей части дорог, деревьев;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тротуаров;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 стоянок автомобилей и остановок общественного транспорта</w:t>
            </w:r>
          </w:p>
        </w:tc>
        <w:tc>
          <w:tcPr>
            <w:tcW w:w="2190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  <w:tc>
          <w:tcPr>
            <w:tcW w:w="2115" w:type="dxa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</w:t>
            </w:r>
          </w:p>
        </w:tc>
      </w:tr>
      <w:tr w:rsidR="00791E59">
        <w:tc>
          <w:tcPr>
            <w:tcW w:w="495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center"/>
            </w:pPr>
            <w:r>
              <w:rPr>
                <w:color w:val="000000"/>
                <w:sz w:val="19"/>
              </w:rPr>
              <w:t> </w:t>
            </w:r>
          </w:p>
        </w:tc>
        <w:tc>
          <w:tcPr>
            <w:tcW w:w="1860" w:type="dxa"/>
            <w:vMerge w:val="restart"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Расчетный показатель минимально допустимого уровня обеспеченности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велокоммуникациями</w:t>
            </w:r>
            <w:proofErr w:type="spellEnd"/>
            <w:r>
              <w:rPr>
                <w:color w:val="000000"/>
                <w:sz w:val="20"/>
                <w:szCs w:val="20"/>
              </w:rPr>
              <w:t>, км</w:t>
            </w:r>
          </w:p>
        </w:tc>
        <w:tc>
          <w:tcPr>
            <w:tcW w:w="43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численности населения до 150 тыс. человек - 0,5 км на 5 тыс. человек;</w:t>
            </w:r>
          </w:p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 численности населения свыше 150 тыс. человек - 0,5 км на 15 тыс. человек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Расчетный показатель максимально допустимого уровня обеспеченности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велокоммуникациями</w:t>
            </w:r>
            <w:proofErr w:type="spellEnd"/>
            <w:r>
              <w:rPr>
                <w:color w:val="000000"/>
                <w:sz w:val="20"/>
                <w:szCs w:val="20"/>
              </w:rPr>
              <w:t>, км</w:t>
            </w:r>
          </w:p>
        </w:tc>
        <w:tc>
          <w:tcPr>
            <w:tcW w:w="43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288" w:lineRule="atLeas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 нормируется</w:t>
            </w:r>
          </w:p>
        </w:tc>
      </w:tr>
      <w:tr w:rsidR="00791E59"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0" w:type="auto"/>
            <w:vMerge/>
            <w:tcBorders>
              <w:top w:val="none" w:sz="4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</w:tcPr>
          <w:p w:rsidR="00791E59" w:rsidRDefault="00791E59"/>
        </w:tc>
        <w:tc>
          <w:tcPr>
            <w:tcW w:w="6675" w:type="dxa"/>
            <w:gridSpan w:val="3"/>
            <w:tcBorders>
              <w:top w:val="single" w:sz="6" w:space="0" w:color="000000"/>
              <w:left w:val="single" w:sz="6" w:space="0" w:color="000000"/>
              <w:bottom w:val="none" w:sz="4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Велопарковки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и парковки средств индивидуальной мобильности </w:t>
            </w:r>
            <w:r>
              <w:rPr>
                <w:color w:val="000000"/>
                <w:sz w:val="20"/>
                <w:szCs w:val="20"/>
              </w:rPr>
              <w:t>устраиваются возле учебных заведений, кинотеатров, магазинов площадью более 100 кв. м, торговых центров, обзорных площадок, музеев, пересадочных узлов, административных и офисных зданий и иных объектов. При их размещении следует руководствоваться требовани</w:t>
            </w:r>
            <w:r>
              <w:rPr>
                <w:color w:val="000000"/>
                <w:sz w:val="20"/>
                <w:szCs w:val="20"/>
              </w:rPr>
              <w:t xml:space="preserve">ями пункта 9.5 </w:t>
            </w:r>
            <w:r>
              <w:rPr>
                <w:sz w:val="20"/>
                <w:szCs w:val="20"/>
              </w:rPr>
              <w:t>СП 396.1325800.2018 «Улицы и дороги населенных пунктов. Правила градостроительного проектирования»</w:t>
            </w:r>
          </w:p>
        </w:tc>
      </w:tr>
      <w:tr w:rsidR="00791E59">
        <w:tc>
          <w:tcPr>
            <w:tcW w:w="9030" w:type="dxa"/>
            <w:gridSpan w:val="5"/>
            <w:tcBorders>
              <w:top w:val="non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791E59">
            <w:pPr>
              <w:spacing w:line="57" w:lineRule="atLeast"/>
            </w:pPr>
          </w:p>
        </w:tc>
      </w:tr>
      <w:tr w:rsidR="00791E59">
        <w:tc>
          <w:tcPr>
            <w:tcW w:w="903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1E59" w:rsidRDefault="002D45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Примечание: в городских поселениях с численностью населения менее 15 тыс. человек и сельских поселениях возможность и параметры размещения </w:t>
            </w:r>
            <w:proofErr w:type="spellStart"/>
            <w:r>
              <w:rPr>
                <w:color w:val="000000"/>
                <w:sz w:val="20"/>
                <w:szCs w:val="20"/>
              </w:rPr>
              <w:t>велокоммуникаций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определяются органами местного самоуправления соответствующих поселений с учетом транспортных, экспл</w:t>
            </w:r>
            <w:r>
              <w:rPr>
                <w:color w:val="000000"/>
                <w:sz w:val="20"/>
                <w:szCs w:val="20"/>
              </w:rPr>
              <w:t>уатационных и градостроительных особенностей данной территории и утверждаются местными нормативами градостроительного проектирования</w:t>
            </w:r>
          </w:p>
        </w:tc>
      </w:tr>
    </w:tbl>
    <w:p w:rsidR="00791E59" w:rsidRDefault="002D45EC">
      <w:pPr>
        <w:ind w:left="9072"/>
        <w:jc w:val="both"/>
      </w:pPr>
      <w:r>
        <w:t xml:space="preserve">          »;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в подразделе «Своды правил по проектированию и строительству (СП)» раздела IV дополнить абзацем следующего</w:t>
      </w:r>
      <w:r>
        <w:rPr>
          <w:rFonts w:ascii="Times New Roman" w:hAnsi="Times New Roman" w:cs="Times New Roman"/>
          <w:sz w:val="28"/>
          <w:szCs w:val="28"/>
        </w:rPr>
        <w:t xml:space="preserve"> содержания:</w:t>
      </w:r>
    </w:p>
    <w:p w:rsidR="00791E59" w:rsidRDefault="002D45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«СП 396.1325800.2018 «Улицы и дороги населенных пунктов. Правила градостроительного проектирования».»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1E59" w:rsidRDefault="002D45EC">
      <w:pPr>
        <w:pStyle w:val="afffa"/>
        <w:tabs>
          <w:tab w:val="left" w:pos="0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 Министерству строительства Новосибирской области (Богомолов Д.Н.) обеспечить размещение предусмотренных пунктом 1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постановления изменений в региональных нормативах градостроительного проектирования Новосибирской области в федеральной государственной информационной системе территориального планирования в срок, не превышающий пяти дней со дня их утверждения.</w:t>
      </w:r>
    </w:p>
    <w:p w:rsidR="00791E59" w:rsidRDefault="00791E59">
      <w:pPr>
        <w:tabs>
          <w:tab w:val="left" w:pos="709"/>
          <w:tab w:val="left" w:pos="993"/>
          <w:tab w:val="left" w:pos="1134"/>
        </w:tabs>
        <w:jc w:val="both"/>
        <w:rPr>
          <w:sz w:val="27"/>
          <w:szCs w:val="27"/>
        </w:rPr>
      </w:pPr>
    </w:p>
    <w:p w:rsidR="00791E59" w:rsidRDefault="00791E59">
      <w:pPr>
        <w:tabs>
          <w:tab w:val="left" w:pos="709"/>
          <w:tab w:val="left" w:pos="993"/>
          <w:tab w:val="left" w:pos="1134"/>
        </w:tabs>
        <w:jc w:val="both"/>
        <w:rPr>
          <w:sz w:val="27"/>
          <w:szCs w:val="27"/>
        </w:rPr>
      </w:pPr>
    </w:p>
    <w:p w:rsidR="00791E59" w:rsidRDefault="002D45EC">
      <w:pPr>
        <w:jc w:val="both"/>
      </w:pPr>
      <w:r>
        <w:t>Губернатор Новосибирской области А.А. Травников</w:t>
      </w:r>
      <w:r>
        <w:br/>
      </w:r>
    </w:p>
    <w:p w:rsidR="00791E59" w:rsidRDefault="002D45EC">
      <w:pPr>
        <w:jc w:val="both"/>
        <w:rPr>
          <w:sz w:val="20"/>
          <w:szCs w:val="20"/>
        </w:rPr>
      </w:pPr>
      <w:r>
        <w:rPr>
          <w:sz w:val="20"/>
          <w:szCs w:val="20"/>
        </w:rPr>
        <w:t>Д.Н. Богомолов</w:t>
      </w:r>
    </w:p>
    <w:p w:rsidR="00791E59" w:rsidRDefault="002D45EC" w:rsidP="002E5F54">
      <w:pPr>
        <w:jc w:val="both"/>
      </w:pPr>
      <w:r>
        <w:rPr>
          <w:sz w:val="20"/>
          <w:szCs w:val="20"/>
        </w:rPr>
        <w:t>228 64 00</w:t>
      </w:r>
      <w:bookmarkStart w:id="0" w:name="_GoBack"/>
      <w:bookmarkEnd w:id="0"/>
    </w:p>
    <w:sectPr w:rsidR="00791E59">
      <w:headerReference w:type="default" r:id="rId8"/>
      <w:footerReference w:type="first" r:id="rId9"/>
      <w:pgSz w:w="11907" w:h="16840"/>
      <w:pgMar w:top="1134" w:right="567" w:bottom="682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45EC" w:rsidRDefault="002D45EC">
      <w:r>
        <w:separator/>
      </w:r>
    </w:p>
  </w:endnote>
  <w:endnote w:type="continuationSeparator" w:id="0">
    <w:p w:rsidR="002D45EC" w:rsidRDefault="002D4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1"/>
    <w:family w:val="roman"/>
    <w:pitch w:val="variable"/>
  </w:font>
  <w:font w:name="Baltica">
    <w:charset w:val="00"/>
    <w:family w:val="auto"/>
    <w:pitch w:val="default"/>
  </w:font>
  <w:font w:name="OpenSymbol">
    <w:charset w:val="00"/>
    <w:family w:val="auto"/>
    <w:pitch w:val="default"/>
  </w:font>
  <w:font w:name="MS Mincho">
    <w:altName w:val="Yu Gothic UI"/>
    <w:panose1 w:val="02020609040205080304"/>
    <w:charset w:val="00"/>
    <w:family w:val="auto"/>
    <w:pitch w:val="default"/>
  </w:font>
  <w:font w:name="Times New Roman CYR">
    <w:panose1 w:val="020206030504050203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E59" w:rsidRDefault="00791E59">
    <w:pPr>
      <w:pStyle w:val="af2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45EC" w:rsidRDefault="002D45EC">
      <w:r>
        <w:separator/>
      </w:r>
    </w:p>
  </w:footnote>
  <w:footnote w:type="continuationSeparator" w:id="0">
    <w:p w:rsidR="002D45EC" w:rsidRDefault="002D45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E59" w:rsidRDefault="002D45EC">
    <w:pPr>
      <w:pStyle w:val="af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   \* MERGEFORMAT</w:instrText>
    </w:r>
    <w:r>
      <w:rPr>
        <w:sz w:val="20"/>
        <w:szCs w:val="20"/>
      </w:rPr>
      <w:fldChar w:fldCharType="separate"/>
    </w:r>
    <w:r w:rsidR="002E5F54">
      <w:rPr>
        <w:noProof/>
        <w:sz w:val="20"/>
        <w:szCs w:val="20"/>
      </w:rPr>
      <w:t>5</w:t>
    </w:r>
    <w:r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772641"/>
    <w:multiLevelType w:val="hybridMultilevel"/>
    <w:tmpl w:val="A176A0DA"/>
    <w:lvl w:ilvl="0" w:tplc="5420A9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06EF54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E4A653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FA985E1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FC6C8E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844114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038C2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52CF55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67CEF5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E59"/>
    <w:rsid w:val="002D45EC"/>
    <w:rsid w:val="002E5F54"/>
    <w:rsid w:val="0079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BDC773-E4CA-4E50-9219-EB5AAD506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spacing w:line="317" w:lineRule="exact"/>
      <w:ind w:right="24"/>
      <w:jc w:val="right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3">
    <w:name w:val="Intense Quote"/>
    <w:basedOn w:val="a"/>
    <w:next w:val="a"/>
    <w:link w:val="a4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4">
    <w:name w:val="Выделенная цитата Знак"/>
    <w:link w:val="a3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5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6">
    <w:name w:val="endnote text"/>
    <w:basedOn w:val="a"/>
    <w:link w:val="a7"/>
    <w:uiPriority w:val="99"/>
    <w:semiHidden/>
    <w:unhideWhenUsed/>
    <w:rPr>
      <w:sz w:val="20"/>
    </w:rPr>
  </w:style>
  <w:style w:type="character" w:customStyle="1" w:styleId="a7">
    <w:name w:val="Текст концевой сноски Знак"/>
    <w:link w:val="a6"/>
    <w:uiPriority w:val="99"/>
    <w:rPr>
      <w:sz w:val="20"/>
    </w:rPr>
  </w:style>
  <w:style w:type="character" w:styleId="a8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9">
    <w:name w:val="TOC Heading"/>
    <w:uiPriority w:val="39"/>
    <w:unhideWhenUsed/>
  </w:style>
  <w:style w:type="paragraph" w:styleId="aa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uiPriority w:val="9"/>
    <w:rPr>
      <w:rFonts w:ascii="Cambria" w:hAnsi="Cambria" w:cs="Times New Roman"/>
      <w:b/>
      <w:sz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="Cambria" w:hAnsi="Cambria" w:cs="Times New Roman"/>
    </w:rPr>
  </w:style>
  <w:style w:type="paragraph" w:styleId="ab">
    <w:name w:val="Balloon Text"/>
    <w:basedOn w:val="a"/>
    <w:link w:val="ac"/>
    <w:uiPriority w:val="9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Pr>
      <w:rFonts w:ascii="Tahoma" w:hAnsi="Tahoma" w:cs="Times New Roman"/>
      <w:sz w:val="16"/>
    </w:rPr>
  </w:style>
  <w:style w:type="paragraph" w:styleId="ad">
    <w:name w:val="Body Text"/>
    <w:basedOn w:val="a"/>
    <w:link w:val="ae"/>
    <w:uiPriority w:val="99"/>
    <w:pPr>
      <w:jc w:val="both"/>
    </w:pPr>
  </w:style>
  <w:style w:type="character" w:customStyle="1" w:styleId="ae">
    <w:name w:val="Основной текст Знак"/>
    <w:basedOn w:val="a0"/>
    <w:link w:val="ad"/>
    <w:uiPriority w:val="99"/>
    <w:rPr>
      <w:rFonts w:cs="Times New Roman"/>
      <w:sz w:val="28"/>
    </w:rPr>
  </w:style>
  <w:style w:type="paragraph" w:styleId="af">
    <w:name w:val="header"/>
    <w:basedOn w:val="a"/>
    <w:link w:val="af0"/>
    <w:uiPriority w:val="9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Pr>
      <w:rFonts w:cs="Times New Roman"/>
      <w:sz w:val="28"/>
      <w:lang w:val="ru-RU" w:eastAsia="ru-RU"/>
    </w:rPr>
  </w:style>
  <w:style w:type="character" w:customStyle="1" w:styleId="af1">
    <w:name w:val="Гипертекстовая ссылка"/>
    <w:uiPriority w:val="99"/>
    <w:rPr>
      <w:color w:val="008000"/>
      <w:sz w:val="20"/>
      <w:u w:val="single"/>
    </w:rPr>
  </w:style>
  <w:style w:type="paragraph" w:styleId="af2">
    <w:name w:val="footer"/>
    <w:basedOn w:val="a"/>
    <w:link w:val="af3"/>
    <w:uiPriority w:val="9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Pr>
      <w:rFonts w:cs="Times New Roman"/>
      <w:sz w:val="28"/>
    </w:rPr>
  </w:style>
  <w:style w:type="paragraph" w:styleId="25">
    <w:name w:val="Body Text 2"/>
    <w:basedOn w:val="a"/>
    <w:link w:val="26"/>
    <w:uiPriority w:val="99"/>
    <w:pPr>
      <w:jc w:val="center"/>
    </w:pPr>
  </w:style>
  <w:style w:type="character" w:customStyle="1" w:styleId="26">
    <w:name w:val="Основной текст 2 Знак"/>
    <w:basedOn w:val="a0"/>
    <w:link w:val="25"/>
    <w:uiPriority w:val="99"/>
    <w:semiHidden/>
    <w:rPr>
      <w:rFonts w:cs="Times New Roman"/>
      <w:sz w:val="28"/>
    </w:rPr>
  </w:style>
  <w:style w:type="paragraph" w:styleId="27">
    <w:name w:val="Body Text Indent 2"/>
    <w:basedOn w:val="a"/>
    <w:link w:val="28"/>
    <w:uiPriority w:val="99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uiPriority w:val="99"/>
    <w:semiHidden/>
    <w:rPr>
      <w:rFonts w:cs="Times New Roman"/>
      <w:sz w:val="28"/>
    </w:rPr>
  </w:style>
  <w:style w:type="character" w:styleId="af4">
    <w:name w:val="page number"/>
    <w:basedOn w:val="a0"/>
    <w:uiPriority w:val="99"/>
    <w:rPr>
      <w:rFonts w:cs="Times New Roman"/>
    </w:rPr>
  </w:style>
  <w:style w:type="paragraph" w:styleId="33">
    <w:name w:val="Body Text Indent 3"/>
    <w:basedOn w:val="a"/>
    <w:link w:val="34"/>
    <w:uiPriority w:val="99"/>
    <w:pPr>
      <w:ind w:right="3117" w:firstLine="5954"/>
      <w:jc w:val="center"/>
      <w:outlineLvl w:val="0"/>
    </w:p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cs="Times New Roman"/>
      <w:sz w:val="16"/>
    </w:rPr>
  </w:style>
  <w:style w:type="paragraph" w:customStyle="1" w:styleId="ConsNormal">
    <w:name w:val="ConsNormal"/>
    <w:pPr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Pr>
      <w:rFonts w:ascii="Courier New" w:hAnsi="Courier New" w:cs="Courier New"/>
    </w:rPr>
  </w:style>
  <w:style w:type="paragraph" w:customStyle="1" w:styleId="ConsTitle">
    <w:name w:val="ConsTitle"/>
    <w:uiPriority w:val="99"/>
    <w:rPr>
      <w:rFonts w:ascii="Arial" w:hAnsi="Arial" w:cs="Arial"/>
      <w:b/>
      <w:bCs/>
      <w:sz w:val="16"/>
      <w:szCs w:val="16"/>
    </w:rPr>
  </w:style>
  <w:style w:type="paragraph" w:styleId="35">
    <w:name w:val="Body Text 3"/>
    <w:basedOn w:val="a"/>
    <w:link w:val="36"/>
    <w:uiPriority w:val="99"/>
    <w:pPr>
      <w:widowControl w:val="0"/>
      <w:jc w:val="both"/>
    </w:pPr>
    <w:rPr>
      <w:sz w:val="24"/>
      <w:szCs w:val="24"/>
    </w:rPr>
  </w:style>
  <w:style w:type="character" w:customStyle="1" w:styleId="36">
    <w:name w:val="Основной текст 3 Знак"/>
    <w:basedOn w:val="a0"/>
    <w:link w:val="35"/>
    <w:uiPriority w:val="99"/>
    <w:semiHidden/>
    <w:rPr>
      <w:rFonts w:cs="Times New Roman"/>
      <w:sz w:val="16"/>
    </w:rPr>
  </w:style>
  <w:style w:type="paragraph" w:customStyle="1" w:styleId="43">
    <w:name w:val="Заголовок4"/>
    <w:basedOn w:val="1"/>
    <w:next w:val="5"/>
    <w:uiPriority w:val="99"/>
    <w:pPr>
      <w:widowControl w:val="0"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sz w:val="24"/>
      <w:szCs w:val="24"/>
    </w:rPr>
  </w:style>
  <w:style w:type="paragraph" w:customStyle="1" w:styleId="ConsPlusNormal">
    <w:name w:val="ConsPlusNormal"/>
    <w:link w:val="ConsPlusNormal0"/>
    <w:qFormat/>
    <w:pPr>
      <w:widowControl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spacing w:before="1860" w:line="320" w:lineRule="auto"/>
      <w:ind w:right="1600"/>
    </w:pPr>
    <w:rPr>
      <w:sz w:val="18"/>
      <w:szCs w:val="18"/>
    </w:rPr>
  </w:style>
  <w:style w:type="paragraph" w:styleId="af5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rPr>
      <w:b/>
      <w:bCs/>
      <w:sz w:val="28"/>
      <w:szCs w:val="28"/>
    </w:rPr>
  </w:style>
  <w:style w:type="paragraph" w:styleId="af6">
    <w:name w:val="Title"/>
    <w:basedOn w:val="a"/>
    <w:link w:val="af7"/>
    <w:uiPriority w:val="99"/>
    <w:qFormat/>
    <w:pPr>
      <w:jc w:val="center"/>
    </w:pPr>
    <w:rPr>
      <w:b/>
      <w:bCs/>
      <w:sz w:val="24"/>
      <w:szCs w:val="24"/>
    </w:rPr>
  </w:style>
  <w:style w:type="character" w:customStyle="1" w:styleId="af7">
    <w:name w:val="Заголовок Знак"/>
    <w:basedOn w:val="a0"/>
    <w:link w:val="af6"/>
    <w:uiPriority w:val="10"/>
    <w:rPr>
      <w:rFonts w:ascii="Cambria" w:hAnsi="Cambria" w:cs="Times New Roman"/>
      <w:b/>
      <w:sz w:val="32"/>
    </w:rPr>
  </w:style>
  <w:style w:type="paragraph" w:customStyle="1" w:styleId="af8">
    <w:name w:val="Термин"/>
    <w:basedOn w:val="a"/>
    <w:next w:val="a"/>
    <w:uiPriority w:val="99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spacing w:before="100" w:after="100"/>
      <w:outlineLvl w:val="1"/>
    </w:pPr>
    <w:rPr>
      <w:b/>
      <w:bCs/>
      <w:sz w:val="48"/>
      <w:szCs w:val="48"/>
      <w:lang w:val="pl-PL"/>
    </w:rPr>
  </w:style>
  <w:style w:type="paragraph" w:customStyle="1" w:styleId="af9">
    <w:name w:val="Список определений"/>
    <w:basedOn w:val="a"/>
    <w:next w:val="af8"/>
    <w:uiPriority w:val="99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Pr>
      <w:rFonts w:ascii="Courier New" w:hAnsi="Courier New" w:cs="Courier New"/>
    </w:rPr>
  </w:style>
  <w:style w:type="paragraph" w:styleId="afa">
    <w:name w:val="Block Text"/>
    <w:basedOn w:val="a"/>
    <w:uiPriority w:val="99"/>
    <w:pPr>
      <w:ind w:left="5954" w:right="-369" w:hanging="2126"/>
      <w:jc w:val="both"/>
    </w:pPr>
  </w:style>
  <w:style w:type="character" w:customStyle="1" w:styleId="afb">
    <w:name w:val="Цветовое выделение"/>
    <w:uiPriority w:val="99"/>
    <w:rPr>
      <w:b/>
      <w:color w:val="000080"/>
      <w:sz w:val="20"/>
    </w:rPr>
  </w:style>
  <w:style w:type="character" w:customStyle="1" w:styleId="afc">
    <w:name w:val="Не вступил в силу"/>
    <w:uiPriority w:val="99"/>
    <w:rPr>
      <w:color w:val="008080"/>
      <w:sz w:val="20"/>
    </w:rPr>
  </w:style>
  <w:style w:type="paragraph" w:customStyle="1" w:styleId="afd">
    <w:name w:val="Таблицы (моноширинный)"/>
    <w:basedOn w:val="a"/>
    <w:next w:val="a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styleId="afe">
    <w:name w:val="Plain Text"/>
    <w:basedOn w:val="a"/>
    <w:link w:val="aff"/>
    <w:uiPriority w:val="99"/>
    <w:rPr>
      <w:rFonts w:ascii="Courier New" w:hAnsi="Courier New" w:cs="Courier New"/>
      <w:sz w:val="20"/>
      <w:szCs w:val="20"/>
    </w:rPr>
  </w:style>
  <w:style w:type="character" w:customStyle="1" w:styleId="aff">
    <w:name w:val="Текст Знак"/>
    <w:basedOn w:val="a0"/>
    <w:link w:val="afe"/>
    <w:uiPriority w:val="99"/>
    <w:semiHidden/>
    <w:rPr>
      <w:rFonts w:ascii="Courier New" w:hAnsi="Courier New" w:cs="Times New Roman"/>
      <w:sz w:val="20"/>
    </w:rPr>
  </w:style>
  <w:style w:type="paragraph" w:styleId="aff0">
    <w:name w:val="footnote text"/>
    <w:basedOn w:val="a"/>
    <w:link w:val="aff1"/>
    <w:uiPriority w:val="99"/>
    <w:semiHidden/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Pr>
      <w:rFonts w:cs="Times New Roman"/>
      <w:sz w:val="20"/>
    </w:rPr>
  </w:style>
  <w:style w:type="paragraph" w:customStyle="1" w:styleId="ConsPlusNonformat">
    <w:name w:val="ConsPlusNonformat"/>
    <w:pPr>
      <w:widowControl w:val="0"/>
    </w:pPr>
    <w:rPr>
      <w:rFonts w:ascii="Courier New" w:hAnsi="Courier New" w:cs="Courier New"/>
    </w:rPr>
  </w:style>
  <w:style w:type="character" w:customStyle="1" w:styleId="13">
    <w:name w:val="Основной шрифт абзаца1"/>
    <w:rPr>
      <w:sz w:val="20"/>
    </w:rPr>
  </w:style>
  <w:style w:type="paragraph" w:customStyle="1" w:styleId="aff2">
    <w:name w:val="Îñíîâíîé òåêñò"/>
    <w:basedOn w:val="aff3"/>
    <w:uiPriority w:val="99"/>
    <w:rPr>
      <w:sz w:val="28"/>
      <w:szCs w:val="28"/>
    </w:rPr>
  </w:style>
  <w:style w:type="paragraph" w:customStyle="1" w:styleId="aff3">
    <w:name w:val="Îáû÷íûé"/>
    <w:uiPriority w:val="99"/>
    <w:rPr>
      <w:lang w:eastAsia="ar-SA"/>
    </w:rPr>
  </w:style>
  <w:style w:type="character" w:customStyle="1" w:styleId="aff4">
    <w:name w:val="Стиль полужирный"/>
    <w:uiPriority w:val="99"/>
    <w:rPr>
      <w:rFonts w:ascii="Times New Roman" w:hAnsi="Times New Roman"/>
      <w:sz w:val="24"/>
    </w:rPr>
  </w:style>
  <w:style w:type="paragraph" w:styleId="aff5">
    <w:name w:val="Body Text Indent"/>
    <w:basedOn w:val="a"/>
    <w:link w:val="aff6"/>
    <w:uiPriority w:val="99"/>
    <w:pPr>
      <w:spacing w:after="120"/>
      <w:ind w:left="283"/>
    </w:pPr>
  </w:style>
  <w:style w:type="character" w:customStyle="1" w:styleId="aff6">
    <w:name w:val="Основной текст с отступом Знак"/>
    <w:basedOn w:val="a0"/>
    <w:link w:val="aff5"/>
    <w:uiPriority w:val="99"/>
    <w:semiHidden/>
    <w:rPr>
      <w:rFonts w:cs="Times New Roman"/>
      <w:sz w:val="28"/>
    </w:rPr>
  </w:style>
  <w:style w:type="table" w:styleId="aff7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8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aff9">
    <w:name w:val="Прижатый влево"/>
    <w:basedOn w:val="a"/>
    <w:next w:val="a"/>
    <w:uiPriority w:val="99"/>
    <w:pPr>
      <w:widowControl w:val="0"/>
    </w:pPr>
    <w:rPr>
      <w:rFonts w:ascii="Arial" w:hAnsi="Arial" w:cs="Arial"/>
      <w:sz w:val="20"/>
      <w:szCs w:val="20"/>
    </w:rPr>
  </w:style>
  <w:style w:type="paragraph" w:styleId="affa">
    <w:name w:val="No Spacing"/>
    <w:uiPriority w:val="1"/>
    <w:qFormat/>
    <w:pPr>
      <w:widowControl w:val="0"/>
      <w:ind w:firstLine="720"/>
      <w:jc w:val="both"/>
    </w:pPr>
    <w:rPr>
      <w:rFonts w:ascii="Arial" w:hAnsi="Arial" w:cs="Arial"/>
    </w:rPr>
  </w:style>
  <w:style w:type="paragraph" w:customStyle="1" w:styleId="14">
    <w:name w:val="заголовок 1"/>
    <w:basedOn w:val="a"/>
    <w:next w:val="a"/>
    <w:uiPriority w:val="99"/>
    <w:pPr>
      <w:keepNext/>
      <w:widowControl w:val="0"/>
      <w:jc w:val="both"/>
      <w:outlineLvl w:val="0"/>
    </w:pPr>
  </w:style>
  <w:style w:type="paragraph" w:customStyle="1" w:styleId="affb">
    <w:name w:val="Кому"/>
    <w:basedOn w:val="a"/>
    <w:uiPriority w:val="99"/>
    <w:rPr>
      <w:rFonts w:ascii="Baltica" w:hAnsi="Baltica" w:cs="Baltica"/>
      <w:sz w:val="24"/>
      <w:szCs w:val="24"/>
    </w:rPr>
  </w:style>
  <w:style w:type="paragraph" w:customStyle="1" w:styleId="29">
    <w:name w:val="заголовок 2"/>
    <w:basedOn w:val="a"/>
    <w:next w:val="a"/>
    <w:uiPriority w:val="99"/>
    <w:pPr>
      <w:keepNext/>
      <w:outlineLvl w:val="1"/>
    </w:pPr>
  </w:style>
  <w:style w:type="paragraph" w:customStyle="1" w:styleId="affc">
    <w:name w:val="Цитаты"/>
    <w:basedOn w:val="a"/>
    <w:uiPriority w:val="99"/>
    <w:pPr>
      <w:spacing w:before="100" w:after="100"/>
      <w:ind w:left="360" w:right="360"/>
    </w:pPr>
    <w:rPr>
      <w:sz w:val="24"/>
      <w:szCs w:val="24"/>
    </w:rPr>
  </w:style>
  <w:style w:type="character" w:styleId="affd">
    <w:name w:val="Hyperlink"/>
    <w:basedOn w:val="a0"/>
    <w:uiPriority w:val="99"/>
    <w:rPr>
      <w:rFonts w:cs="Times New Roman"/>
      <w:color w:val="0000FF"/>
      <w:u w:val="single"/>
    </w:rPr>
  </w:style>
  <w:style w:type="paragraph" w:customStyle="1" w:styleId="37">
    <w:name w:val="заголовок 3"/>
    <w:basedOn w:val="a"/>
    <w:next w:val="a"/>
    <w:uiPriority w:val="99"/>
    <w:pPr>
      <w:keepNext/>
      <w:jc w:val="center"/>
    </w:pPr>
    <w:rPr>
      <w:lang w:val="en-US"/>
    </w:rPr>
  </w:style>
  <w:style w:type="character" w:styleId="affe">
    <w:name w:val="Strong"/>
    <w:basedOn w:val="a0"/>
    <w:uiPriority w:val="22"/>
    <w:qFormat/>
    <w:rPr>
      <w:rFonts w:cs="Times New Roman"/>
      <w:b/>
    </w:rPr>
  </w:style>
  <w:style w:type="paragraph" w:styleId="afff">
    <w:name w:val="Subtitle"/>
    <w:basedOn w:val="a"/>
    <w:link w:val="afff0"/>
    <w:uiPriority w:val="99"/>
    <w:qFormat/>
    <w:pPr>
      <w:ind w:firstLine="720"/>
      <w:jc w:val="right"/>
    </w:pPr>
  </w:style>
  <w:style w:type="character" w:customStyle="1" w:styleId="afff0">
    <w:name w:val="Подзаголовок Знак"/>
    <w:basedOn w:val="a0"/>
    <w:link w:val="afff"/>
    <w:uiPriority w:val="11"/>
    <w:rPr>
      <w:rFonts w:ascii="Cambria" w:hAnsi="Cambria" w:cs="Times New Roman"/>
      <w:sz w:val="24"/>
    </w:rPr>
  </w:style>
  <w:style w:type="paragraph" w:customStyle="1" w:styleId="62">
    <w:name w:val="заголовок 6"/>
    <w:basedOn w:val="a"/>
    <w:next w:val="a"/>
    <w:uiPriority w:val="99"/>
    <w:pPr>
      <w:keepNext/>
      <w:jc w:val="center"/>
      <w:outlineLvl w:val="5"/>
    </w:pPr>
  </w:style>
  <w:style w:type="character" w:customStyle="1" w:styleId="15">
    <w:name w:val="Гиперссылка1"/>
    <w:uiPriority w:val="99"/>
    <w:rPr>
      <w:color w:val="0000FF"/>
      <w:u w:val="none"/>
    </w:rPr>
  </w:style>
  <w:style w:type="paragraph" w:styleId="2a">
    <w:name w:val="envelope return"/>
    <w:basedOn w:val="a"/>
    <w:uiPriority w:val="99"/>
    <w:pPr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pPr>
      <w:keepNext/>
      <w:ind w:left="6480" w:firstLine="720"/>
      <w:outlineLvl w:val="4"/>
    </w:pPr>
  </w:style>
  <w:style w:type="paragraph" w:customStyle="1" w:styleId="afff1">
    <w:name w:val="Знак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2">
    <w:name w:val="Знак Знак Знак Знак Знак Знак Знак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3">
    <w:name w:val="Об"/>
    <w:uiPriority w:val="99"/>
    <w:pPr>
      <w:widowControl w:val="0"/>
    </w:pPr>
  </w:style>
  <w:style w:type="paragraph" w:customStyle="1" w:styleId="afff4">
    <w:name w:val="Прикольный"/>
    <w:basedOn w:val="afff3"/>
    <w:uiPriority w:val="99"/>
  </w:style>
  <w:style w:type="paragraph" w:customStyle="1" w:styleId="16">
    <w:name w:val="Знак Знак Знак Знак1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5">
    <w:name w:val="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6">
    <w:name w:val="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b">
    <w:name w:val="Знак Знак Знак Знак2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1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7">
    <w:name w:val="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9">
    <w:name w:val="Знак Знак Знак Знак1 Знак Знак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Знак Знак Знак1 Знак"/>
    <w:basedOn w:val="a"/>
    <w:uiPriority w:val="99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8">
    <w:name w:val="????????"/>
    <w:basedOn w:val="a"/>
    <w:uiPriority w:val="99"/>
    <w:pPr>
      <w:widowControl w:val="0"/>
      <w:jc w:val="center"/>
    </w:pPr>
  </w:style>
  <w:style w:type="paragraph" w:customStyle="1" w:styleId="ConsPlusCell">
    <w:name w:val="ConsPlusCell"/>
    <w:uiPriority w:val="99"/>
    <w:pPr>
      <w:widowControl w:val="0"/>
    </w:pPr>
    <w:rPr>
      <w:rFonts w:ascii="Arial" w:hAnsi="Arial" w:cs="Arial"/>
    </w:rPr>
  </w:style>
  <w:style w:type="character" w:styleId="afff9">
    <w:name w:val="line number"/>
    <w:basedOn w:val="a0"/>
    <w:uiPriority w:val="99"/>
    <w:semiHidden/>
    <w:unhideWhenUsed/>
    <w:rPr>
      <w:rFonts w:cs="Times New Roman"/>
    </w:rPr>
  </w:style>
  <w:style w:type="paragraph" w:styleId="afffa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38">
    <w:name w:val="Основной шрифт абзаца3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8Num2z0">
    <w:name w:val="WW8Num2z0"/>
  </w:style>
  <w:style w:type="character" w:customStyle="1" w:styleId="2c">
    <w:name w:val="Основной шрифт абзаца2"/>
  </w:style>
  <w:style w:type="character" w:customStyle="1" w:styleId="afffb">
    <w:name w:val="Символ нумерации"/>
  </w:style>
  <w:style w:type="character" w:customStyle="1" w:styleId="afffc">
    <w:name w:val="Маркеры списка"/>
    <w:rPr>
      <w:rFonts w:ascii="OpenSymbol" w:eastAsia="OpenSymbol" w:hAnsi="OpenSymbol"/>
    </w:rPr>
  </w:style>
  <w:style w:type="paragraph" w:customStyle="1" w:styleId="1b">
    <w:name w:val="Заголовок1"/>
    <w:basedOn w:val="a"/>
    <w:next w:val="ad"/>
    <w:pPr>
      <w:keepNext/>
      <w:spacing w:before="240" w:after="120"/>
    </w:pPr>
    <w:rPr>
      <w:rFonts w:ascii="Arial" w:eastAsia="MS Mincho" w:hAnsi="Arial" w:cs="Tahoma"/>
      <w:lang w:eastAsia="ar-SA"/>
    </w:rPr>
  </w:style>
  <w:style w:type="paragraph" w:styleId="afffd">
    <w:name w:val="List"/>
    <w:basedOn w:val="ad"/>
    <w:uiPriority w:val="99"/>
    <w:pPr>
      <w:spacing w:after="120"/>
      <w:jc w:val="left"/>
    </w:pPr>
    <w:rPr>
      <w:rFonts w:ascii="Arial" w:hAnsi="Arial" w:cs="Tahoma"/>
      <w:lang w:eastAsia="ar-SA"/>
    </w:rPr>
  </w:style>
  <w:style w:type="paragraph" w:customStyle="1" w:styleId="39">
    <w:name w:val="Название3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3a">
    <w:name w:val="Указатель3"/>
    <w:basedOn w:val="a"/>
    <w:pPr>
      <w:suppressLineNumbers/>
    </w:pPr>
    <w:rPr>
      <w:rFonts w:ascii="Arial" w:hAnsi="Arial" w:cs="Tahoma"/>
      <w:lang w:eastAsia="ar-SA"/>
    </w:rPr>
  </w:style>
  <w:style w:type="paragraph" w:customStyle="1" w:styleId="2d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2e">
    <w:name w:val="Указатель2"/>
    <w:basedOn w:val="a"/>
    <w:pPr>
      <w:suppressLineNumbers/>
    </w:pPr>
    <w:rPr>
      <w:rFonts w:ascii="Arial" w:hAnsi="Arial" w:cs="Tahoma"/>
      <w:lang w:eastAsia="ar-SA"/>
    </w:rPr>
  </w:style>
  <w:style w:type="paragraph" w:customStyle="1" w:styleId="1c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d">
    <w:name w:val="Указатель1"/>
    <w:basedOn w:val="a"/>
    <w:pPr>
      <w:suppressLineNumbers/>
    </w:pPr>
    <w:rPr>
      <w:rFonts w:ascii="Arial" w:hAnsi="Arial" w:cs="Tahoma"/>
      <w:lang w:eastAsia="ar-SA"/>
    </w:rPr>
  </w:style>
  <w:style w:type="paragraph" w:customStyle="1" w:styleId="1e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2f">
    <w:name w:val="Абзац списка2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msonormalcxspmiddle">
    <w:name w:val="msonormalcxspmiddle"/>
    <w:basedOn w:val="a"/>
    <w:pPr>
      <w:spacing w:before="280" w:after="280"/>
    </w:pPr>
    <w:rPr>
      <w:sz w:val="24"/>
      <w:szCs w:val="24"/>
      <w:lang w:eastAsia="ar-SA"/>
    </w:rPr>
  </w:style>
  <w:style w:type="paragraph" w:customStyle="1" w:styleId="msonormalcxsplast">
    <w:name w:val="msonormalcxsplast"/>
    <w:basedOn w:val="a"/>
    <w:pPr>
      <w:spacing w:before="280" w:after="280"/>
    </w:pPr>
    <w:rPr>
      <w:sz w:val="24"/>
      <w:szCs w:val="24"/>
      <w:lang w:eastAsia="ar-SA"/>
    </w:rPr>
  </w:style>
  <w:style w:type="paragraph" w:customStyle="1" w:styleId="consplusnormalcxspmiddle">
    <w:name w:val="consplusnormalcxspmiddle"/>
    <w:basedOn w:val="a"/>
    <w:pPr>
      <w:spacing w:before="280" w:after="280"/>
    </w:pPr>
    <w:rPr>
      <w:sz w:val="24"/>
      <w:szCs w:val="24"/>
      <w:lang w:eastAsia="ar-SA"/>
    </w:rPr>
  </w:style>
  <w:style w:type="paragraph" w:customStyle="1" w:styleId="afffe">
    <w:name w:val="Содержимое таблицы"/>
    <w:basedOn w:val="a"/>
    <w:pPr>
      <w:suppressLineNumbers/>
    </w:pPr>
    <w:rPr>
      <w:lang w:eastAsia="ar-SA"/>
    </w:rPr>
  </w:style>
  <w:style w:type="paragraph" w:customStyle="1" w:styleId="affff">
    <w:name w:val="Заголовок таблицы"/>
    <w:basedOn w:val="afffe"/>
    <w:pPr>
      <w:jc w:val="center"/>
    </w:pPr>
    <w:rPr>
      <w:b/>
      <w:bCs/>
    </w:rPr>
  </w:style>
  <w:style w:type="paragraph" w:customStyle="1" w:styleId="affff0">
    <w:name w:val="Содержимое врезки"/>
    <w:basedOn w:val="ad"/>
    <w:pPr>
      <w:spacing w:after="120"/>
      <w:jc w:val="left"/>
    </w:pPr>
    <w:rPr>
      <w:lang w:eastAsia="ar-SA"/>
    </w:rPr>
  </w:style>
  <w:style w:type="character" w:styleId="affff1">
    <w:name w:val="Placeholder Text"/>
    <w:basedOn w:val="a0"/>
    <w:uiPriority w:val="99"/>
    <w:semiHidden/>
    <w:rPr>
      <w:color w:val="808080"/>
    </w:rPr>
  </w:style>
  <w:style w:type="character" w:customStyle="1" w:styleId="ConsPlusNormal0">
    <w:name w:val="ConsPlusNormal Знак"/>
    <w:link w:val="ConsPlusNormal"/>
    <w:rPr>
      <w:rFonts w:ascii="Arial" w:hAnsi="Arial" w:cs="Arial"/>
    </w:rPr>
  </w:style>
  <w:style w:type="character" w:customStyle="1" w:styleId="apple-converted-space">
    <w:name w:val="apple-converted-space"/>
    <w:basedOn w:val="a0"/>
  </w:style>
  <w:style w:type="paragraph" w:customStyle="1" w:styleId="formattext">
    <w:name w:val="formattex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4060D4-33A6-4AFC-AEE8-2E10BFD85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1486</Words>
  <Characters>8472</Characters>
  <Application>Microsoft Office Word</Application>
  <DocSecurity>0</DocSecurity>
  <Lines>70</Lines>
  <Paragraphs>19</Paragraphs>
  <ScaleCrop>false</ScaleCrop>
  <Company>ANO</Company>
  <LinksUpToDate>false</LinksUpToDate>
  <CharactersWithSpaces>9939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Дробышева Наталья Геннадьевна</dc:creator>
  <cp:lastModifiedBy>Ибрагимов Голибджон Гуфронович ADM</cp:lastModifiedBy>
  <cp:revision>26</cp:revision>
  <dcterms:created xsi:type="dcterms:W3CDTF">2024-07-17T11:06:00Z</dcterms:created>
  <dcterms:modified xsi:type="dcterms:W3CDTF">2025-04-08T07:38:00Z</dcterms:modified>
</cp:coreProperties>
</file>