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highlight w:val="none"/>
        </w:rPr>
        <w:t xml:space="preserve">постановлением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Правительства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 xml:space="preserve">от ________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__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________</w:t>
      </w: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о региональном государственном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контроле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(надзоре) за соблюдением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юридическими лицами, индивидуальными предпринимателями,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подрядчиками требований к порядку и срокам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размещения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в информационной системе информации и сведений,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необходимых для строительства жилых домов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по договорам строительного подряда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539"/>
        <w:jc w:val="center"/>
        <w:spacing w:before="0" w:beforeAutospacing="0" w:after="0" w:line="57" w:lineRule="atLeast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I. Общие положения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 Настоящее Положение устанавливает порядок организации и осуществления  регионального государственного контроля (надзора) за соблюдением юридическими лицами, индивидуальными предпринимателями, подрядчиками (далее -  контролируемые 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ца) требований к порядку и срокам размещения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единой информационной системе жилищного строительства (далее – информационная система) информации и сведений, предусмотренных частями 2 и 4 статьи 4 Федерального закона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июля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2024 года № 186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ФЗ «О строительстве жилых домов по договорам строительного подряда с использованием счетов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эскроу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 (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далее Федеральный закон № 186-ФЗ),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необходимых для строительства жилых домов по договорам строительного подряда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(далее - региональный государственный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контроль).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 настоящем Положении используются понятия, предусмотренны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е </w:t>
      </w:r>
      <w:hyperlink r:id="rId11" w:tooltip="https://login.consultant.ru/link/?req=doc&amp;base=LAW&amp;n=481246&amp;dst=100011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статьей 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№ 186-ФЗ.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2. Предметом регионального государственного контроля является соблюдение контролируемыми лицами требований к порядку и срокам размещения в информационной системе информации и сведений, предусмотренных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Федеральным законом № 186-ФЗ, необходимых для строительства жилых домов по договорам строительного подряда (далее - обязательные требования).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3. Региональный государственный контроль осуществляется министерством строительства Новосибирской области (далее - министерство).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4. Должностными лицами министерства, уполномоченными на осуществление регионального государственного контроля (далее - должностные лица министерства), являются: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1) заместитель министра строительства Новосибирской области;</w:t>
      </w:r>
      <w:r/>
    </w:p>
    <w:p>
      <w:pPr>
        <w:ind w:left="0" w:right="0" w:firstLine="539"/>
        <w:jc w:val="both"/>
        <w:spacing w:before="0" w:beforeAutospacing="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2) начальник управления контроля в области долевого строительства и инженерного обеспечения министерства строительства Новосибирской области;</w:t>
      </w:r>
      <w:r/>
    </w:p>
    <w:p>
      <w:pPr>
        <w:ind w:left="0" w:right="0" w:firstLine="539"/>
        <w:jc w:val="both"/>
        <w:spacing w:before="0" w:beforeAutospacing="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3) заместитель начальника управления - начальник отдела государственного контроля в области долевого строительства управления контроля в области долевого строительства и инженерного обеспечения министерства строительства Новосибирской области;</w:t>
      </w:r>
      <w:r/>
    </w:p>
    <w:p>
      <w:pPr>
        <w:ind w:left="0" w:right="0" w:firstLine="539"/>
        <w:jc w:val="both"/>
        <w:spacing w:before="0" w:beforeAutospacing="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4) заместитель начальника отдела государственного контроля в области долевого строительства управления контроля в области долевого строительства и инженерного обеспечения министерства строительства Новосибирской области;</w:t>
      </w:r>
      <w:r/>
    </w:p>
    <w:p>
      <w:pPr>
        <w:ind w:left="0" w:right="0" w:firstLine="539"/>
        <w:jc w:val="both"/>
        <w:spacing w:before="0" w:beforeAutospacing="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5) консультант отдела государственного контроля в области долевого строительства управления контроля в области долевого строительства и инженерного обеспечения министерства строительства Новосибирской области;</w:t>
      </w:r>
      <w:r/>
    </w:p>
    <w:p>
      <w:pPr>
        <w:ind w:left="0" w:right="0" w:firstLine="539"/>
        <w:jc w:val="both"/>
        <w:spacing w:before="0" w:beforeAutospacing="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6) начальник отдела анализа управления контроля в области долевого строительства и инженерного обеспечения министерства строительства Новосибирской области;</w:t>
      </w:r>
      <w:r/>
    </w:p>
    <w:p>
      <w:pPr>
        <w:ind w:left="0" w:right="0" w:firstLine="539"/>
        <w:jc w:val="both"/>
        <w:spacing w:before="0" w:beforeAutospacing="0"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7) консультант отдела анализа управления контроля в области долевого строительства и инженерного обеспечения министерства строительства Новосибирской области.</w:t>
      </w:r>
      <w:r/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5. Должностными лицами, уполномоченными на принятие решений о проведении контрольных (надзорных) мероприятий, являются министр строительства Новосибирской области, заместитель министра строительства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6. Должностные лица министерства при проведении контрольных (надзорных) мероприятий в пределах своих полномочий пользуются правами и исполняют обязанности, которые предусмотрен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ы </w:t>
      </w:r>
      <w:hyperlink r:id="rId12" w:tooltip="https://login.consultant.ru/link/?req=doc&amp;base=LAW&amp;n=495001&amp;dst=100315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статьей 29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ерального закона от 31.07.2020 № 248-ФЗ «О государственном контроле (надзоре) и муниципальном контроле в Российской Федерации» (далее – Федеральный закон № 248-ФЗ).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7. Объектом регионального государственного контроля является деятельность, действия (бездействие) контролируемых лиц по размещению в информационной системе информации и свед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ений, предусмотренных </w:t>
      </w:r>
      <w:hyperlink r:id="rId13" w:tooltip="https://login.consultant.ru/link/?req=doc&amp;base=LAW&amp;n=481246&amp;dst=100024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частями 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и </w:t>
      </w:r>
      <w:hyperlink r:id="rId14" w:tooltip="https://login.consultant.ru/link/?req=doc&amp;base=LAW&amp;n=481246&amp;dst=100040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4 статьи 4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22.07.2024 № 186-ФЗ (д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алее - объект контроля).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8. Учет объектов контроля и связанных с ними контролируемых лиц осуществляется министерством в соответств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ии с </w:t>
      </w:r>
      <w:hyperlink r:id="rId15" w:tooltip="https://login.consultant.ru/link/?req=doc&amp;base=LAW&amp;n=495001&amp;dst=100173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частью 2 статьи 16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Федерального закона от 31.07.2020 № 248-ФЗ посредством сбора, обработки, анализа информации об объектах контроля, содержащейся в информационной системе, предоставляемой министерству в соответствии с нормативными правовыми актами, получаемой в рамка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х межведомственного взаимодействия и в ходе контрольных (надзорных) мероприятий, а также общедоступной информации.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0"/>
        <w:jc w:val="both"/>
        <w:spacing w:before="0" w:beforeAutospacing="0"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II. Управление рисками причинения вреда (ущерба)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r>
    </w:p>
    <w:p>
      <w:pPr>
        <w:jc w:val="center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охраняемым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законом ценностям при осуществлении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r>
    </w:p>
    <w:p>
      <w:pPr>
        <w:jc w:val="center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</w:rPr>
        <w:t xml:space="preserve">регионального государственного контроля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jc w:val="center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9. При осуществлении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регионального государственного контроля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применяется система оценки и управления рисками причинения вреда (ущерба) охраняемым законом ценностям.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10. Министерство при осуществлении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регионального государственного контроля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относит объекты контроля к следующим категориям риска причинения вреда, ущерба (далее - категория риска):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1) высокая категория риска;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2) средняя категория риска;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3) низкая категория риска.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6" w:beforeAutospacing="0" w:after="6" w:afterAutospacing="0" w:line="283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11. 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Отнесение объекта контроля к одной из категорий риска осуществляется на основе сопоставления его характеристик в соответствии с Критериями, утвержденными настоящим постановлением.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6" w:beforeAutospacing="0" w:after="6" w:afterAutospacing="0"/>
        <w:shd w:val="clear" w:color="ffffff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тн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есени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объектов контроля к категориям риска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осуществляется решением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Министерства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с ука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занием сведений о контролируемом лице, описания объекта контроля и присвоенной категории риска в перечне объектов контроля.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6" w:beforeAutospacing="0" w:after="6" w:afterAutospacing="0"/>
        <w:shd w:val="clear" w:color="ffffff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Перечень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объектов контроля ведется в едином реестре видов федерального государственного контроля (надзора), регионального государственного контроля (надзора), муниципального контроля (далее – единый реестр видов контроля) с учетом требований законодательства Росси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йской Федерации об охраняемой законом тайне.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left="0" w:right="0" w:firstLine="567"/>
        <w:jc w:val="both"/>
        <w:spacing w:before="6" w:beforeAutospacing="0" w:after="6" w:afterAutospacing="0"/>
        <w:shd w:val="clear" w:color="ffffff" w:fill="ffffff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13. При отсутствии сведений об отнесении объекта контроля к определенной категории риска такой объект контроля считается отнесенным к категории низкого риска.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III. Индикаторы риска нарушения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14. При принятии решения о проведении и выборе вида внепланового контрольного (надзорного) мероприятия при осуществлении регионального государственного контроля министерство использует следующие индикаторы риска нарушения обязательных требований: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отсутствие информации о наличии уведомления о планируемом строительстве жилого дома по истечении месяца со дня, установленного для начала выполнения работ по договору строительного подряда;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отсутствие информации о наличии уведомления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об окончании строительства жилого дома по истечении месяца со дня, установленного для окончания выполнения работ по договору строительного подряда;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t xml:space="preserve">отсутствие сведений о регистрации права собственности заказчика на жилой дом, построенный в соответствии с договором строительного подряда, по истечении месяца со дня, предусмотренного в соответствии с договором строительного подряда.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IV. Профилактика рисков причинения вреда (ущерба)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15. Министерством в соответстви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и с </w:t>
      </w:r>
      <w:hyperlink r:id="rId16" w:tooltip="https://login.consultant.ru/link/?req=doc&amp;base=LAW&amp;n=495001&amp;dst=100487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частью 2 статьи 44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дерального закона от 31.07.2020 № 248-ФЗ ежегодно утверждается программа профилактики рисков причинения вреда (ущерба) охраняемым законом ценностям (далее - программа профилактики рисков) в срок до 1 декабря года, предшествующего году реализации програм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мы профилактики рисков, и размещается на официальном сайте министерства в информационно-телекоммуникационной сети «Интернет» (далее - официальный сайт).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16. Министерством могут проводиться следующие профилактические мероприятия: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1) информирование;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 обобщение правоприменительной практики;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3) объявление предостережения о недопустимости нарушения обязательных требований (далее - предостережения);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4) консультирование;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5) профилактический визит.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17. Информирование контролируемых лиц и их представителей  по вопросам соблюдения обязательных требований министерством осуществляется в порядке, определен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ном </w:t>
      </w:r>
      <w:hyperlink r:id="rId17" w:tooltip="https://login.consultant.ru/link/?req=doc&amp;base=LAW&amp;n=495001&amp;dst=100509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статьей 46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дерального закона от 31.07.2020 № 248-ФЗ.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18. Министерство ежегодно, не позднее 1 марта года, следующего за отчетным, по итогам обобщения правоприменительной практики подготавливает доклад, содержащий результаты обобщения правоприменительной практики министерства (далее - доклад о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равоприменительной практике).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Министерство обеспечивает публичное обсуждение проекта доклада о правоприменительной практике.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Доклад о правоприменительной практике утверждается приказом министерства и размещается на официальном сайте в срок до 15 марта года, следующего за отчетным.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19. В случае наличия у министерства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ред (ущерб) охраняемым законом ценностям либо создало угрозу причинения вреда (ущерба) охраняемым законом ценностям, министерство объявляет контролируемому лицу предостережение и предлагает принять меры по обеспечению соблюдения обязательных требова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Контролируемое лицо вправе в течение 30 дней со дня получения предостережения подать в министерство возражение в отношении указанного предостережения (далее - возражение), в котором указываются: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наименование контролируемого лица;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идентификационный номер налогоплательщика - контролируемого лица;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дата и номер объявленного предостережения;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Возражения подаются контролируемым лицом в министерство непосредственно в канцелярию министерства либо направляются в бумажном виде почтовым отправлением либо в виде электронного документа, подписанного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в соответствии с </w:t>
      </w:r>
      <w:hyperlink r:id="rId18" w:tooltip="https://login.consultant.ru/link/?req=doc&amp;base=LAW&amp;n=495001&amp;dst=101131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частью 6 статьи 21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Федерального закона от 31.07.2020 № 248-ФЗ, на указанный в предостережении адрес электронной почты.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Должностное лицо министерства рассматривает возражения в течение 20 рабочих дней со дня получения возражений и по итогам рассмотрения направляет контролируемому лицу ответ.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20. Должностные лица министерства осуществляют устное и письменное консультирование контролируемых лиц и их представителей по следующим вопросам: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профилактики рисков нарушения обязательных требований;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соблюдения обязательных требований;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порядка осуществления регионального государственного контроля;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порядка обжалования решений министерства, действий (бездействия) ее должностных лиц.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Устное консультирование осуществляется должностными лицами  министерства по телефону, посредством видео-конференц-связи, на личном приеме, либо в ходе проведения профилактического мероприятия, контрольного (надзорного) мероприятия.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Устное консультирование на личном приеме осуществляется по предварительной записи. Время консультирования одного лица не должно превышать 15 минут.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 итогам консультирования информация в письменной форме контролируемым лицам и их представителям не предоставляется.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Письменное консультирование осуществляется в случае поступления обращений контролируемых лиц и их представителей в письменной форме или форме электронного документа.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случае поступления 5 и более однотипных обращений контролируемых лиц и их представителей консультирование по таким обращениям осуществляется посредством размещения на официальном сайте письменных разъяснений, подписанных должностным лицом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министерства.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21. Профилактический визит проводится должностными лицами министерства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деятельности, а должностное лицо министерства осуществляет ознакомление с объектом контроля и проводит оценку уровня соблюдения контро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лируемым лицом обязательных требований.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Профилактический визит проводится по инициативе министерства (обязательный профилактический визит) или по инициативе контролируемого лица.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22. Обязательный профилактический визит проводится в соответствии со </w:t>
      </w:r>
      <w:hyperlink r:id="rId19" w:tooltip="https://login.consultant.ru/link/?req=doc&amp;base=LAW&amp;n=495001&amp;dst=101366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статьей 52.1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рального закона от 31.07.2020 № 248-ФЗ.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Обязательный профилактический визит не предусматривает отказ контролируемого лица от его проведения.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рамках обязательного профилактического визита должностное лицо министерства при необходимости проводит истребование необходимых документов.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Срок проведения обязательного профилактического визита не может превышать один рабочий день.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23. Профилактический визит по инициативе контролируемого лица проводится в соответстви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и со </w:t>
      </w:r>
      <w:hyperlink r:id="rId20" w:tooltip="https://login.consultant.ru/link/?req=doc&amp;base=LAW&amp;n=495001&amp;dst=101391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статьей 52.2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закона от 31.07.2020 № 248-ФЗ.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пальным учреждением.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Контролируемое лицо подает заявление о проведении профилактического визита посредством федеральной государственной информационной системы «Единый портал государственных и муниципальных услуг (функций)» (далее - единый портал государственных и муниципальных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услуг).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Министерство рассматривает указанное заявление, принимает решение о проведении профилактического визита либо об отказе в его проведении, согласовывает дату проведения профилактического визита с контролируемым лицом, а также осуществляет проведение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рофилактического визита в порядке, установленн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ом </w:t>
      </w:r>
      <w:hyperlink r:id="rId21" w:tooltip="https://login.consultant.ru/link/?req=doc&amp;base=LAW&amp;n=495001&amp;dst=101391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статьей 52.2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ьного закона от 31.07.2020 № 248-ФЗ.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случае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министерство,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проводившее профилактический визит, незамедлительно направляет информацию об этом уполномоченному должностному лицу для принятия решения о проведении контрольного (надзорного) мероприятия.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before="0" w:beforeAutospacing="0" w:after="6" w:afterAutospacing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V. Осуществление регионального государственного контроля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24. При осуществлении регионального государственного контроля плановые контрольные (надзорные) мероприятия не проводятся.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25. При осуществлении регионального государственного контроля проводятся следующие виды внеплановых контрольных (надзорных) мероприятий: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1) при взаимодействии с контролируемым лицом - документарная проверка.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2) без взаимодействия с контролируемым лицом - наблюдение за соблюдением обязательных требований (мониторинг).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При наблюдении за соблюдением обязательных требований (мониторинге) осуществляется сбор, анализ данных об объектах контроля, имеющихся у министерства, в том числе данных, которые поступают в ходе межведомственного информационного взаимо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действия, предоставляются контролируемым лицом в рамках исполнения обязательных требований, включая письменные пояснения контролируемого лица, а также данных, содержащихся в государственных и муниципальных системах, данных из информационно-телекоммуникацио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нной сети «Интернет», иных общедоступных данных.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26. При проведении контрольных (надзорных) мероприятий в целях фиксации должностным лицом министерства доказательств нарушений обязательных требований могут использоваться скриншоты материалов, размещенных в информационно-телекоммуникационной сети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«Интернет».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Скриншот материалов должен содержать информацию о его дате и времени, а также об адресе интернет-страницы, с которой скриншот был сделан.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27. При осуществлении регионального государственного контроля проверочные листы не применяются.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28. Внеплановые контрольные мероприятия проводятся в соответствии с положениями </w:t>
      </w:r>
      <w:hyperlink r:id="rId22" w:tooltip="https://login.consultant.ru/link/?req=doc&amp;base=LAW&amp;n=495001&amp;dst=100728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статьи 66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29. Для проведения контрольного (надзорного) мероприятия, предусматривающего взаимодействие с контролируемым лицом, министерством принимается решение о проведении контрольного (надзорного) мероприятия, в котором указываются сведения, установленные </w:t>
      </w:r>
      <w:hyperlink r:id="rId23" w:tooltip="https://login.consultant.ru/link/?req=doc&amp;base=LAW&amp;n=495001&amp;dst=101176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частью 1 статьи 64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30. Документарная проверка проводится в соответствии со </w:t>
      </w:r>
      <w:hyperlink r:id="rId24" w:tooltip="https://login.consultant.ru/link/?req=doc&amp;base=LAW&amp;n=495001&amp;dst=100851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статьей 72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 ходе проведения документарной проверки могут осуществляться следующие контрольные (надзорные) действия: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получение письменных объяснений;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истребование документов.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Документарная проверка проводится по месту нахождения министерства, и предметом проверки являются исключительно сведения, содержащиеся в документах контролируемого лица, устанавливающих его организационно-правовую форму, права и обязанности, а также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документы, используемые при осуществлении его деятельности и связанные с исполнением им обязательных требований и решений министерства.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 ходе документарной проверки рассматриваются документы контролируемого лица, имеющиеся в распоряжении министерства, результаты предыдущих контрольных (надзорных) мероприятий, материалы рассмотрения дел об административных правонарушениях и иные док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ументы о результатах осуществленного в отношении этого контролируемого лица регионального государственного контроля.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Срок проведения документарной проверки не может превышать 10 рабочих дней. На период с момента направления министерством контролируемому лицу требования представить необходимые для рассмотрения в ходе документарной проверки документы до момента пред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ставления указанных в требовании документов в министерство, а также период с момента направления контролируемому лицу информации министерства о выявлении ошибок и (или) противоречий в представленных контролируемым лицом документах либо о несо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ответствии сведений, содержащихся в этих документах, сведениям, содержащимся в имеющихся у министерства документах и (или) полученным при осуществлении регионального государственного контроля, и требования представить необходимые письменные объяснен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ия до момента представления указанных письменных объяснений в министерство исчисление срока проведения документарной проверки приостанавливается.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5" w:tooltip="https://login.consultant.ru/link/?req=doc&amp;base=LAW&amp;n=495001&amp;dst=101410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пунктами 3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, </w:t>
      </w:r>
      <w:hyperlink r:id="rId26" w:tooltip="https://login.consultant.ru/link/?req=doc&amp;base=LAW&amp;n=495001&amp;dst=100637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4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, </w:t>
      </w:r>
      <w:hyperlink r:id="rId27" w:tooltip="https://login.consultant.ru/link/?req=doc&amp;base=LAW&amp;n=495001&amp;dst=100639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6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, </w:t>
      </w:r>
      <w:hyperlink r:id="rId28" w:tooltip="https://login.consultant.ru/link/?req=doc&amp;base=LAW&amp;n=495001&amp;dst=101412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8 части 1 статьи 57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31. Контрольные (надзорные) действия, совершаемые в ходе контрольных (надзорных) мероприятий, проводятся должностными лицами министерства в соответствии со </w:t>
      </w:r>
      <w:hyperlink r:id="rId29" w:tooltip="https://login.consultant.ru/link/?req=doc&amp;base=LAW&amp;n=495001&amp;dst=100913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статьями 79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, </w:t>
      </w:r>
      <w:hyperlink r:id="rId30" w:tooltip="https://login.consultant.ru/link/?req=doc&amp;base=LAW&amp;n=495001&amp;dst=100917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80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VI. Результаты контрольного (надзорного) мероприятия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32. По окончании проведения контрольного (надзорного) мероприятия составляется акт контрольного (надзорного) мероприятия (далее также - акт).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 случае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нарушения обязательных требований, должны быть приобщены к акту.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33. Оформление акта производится в соответствии со </w:t>
      </w:r>
      <w:hyperlink r:id="rId31" w:tooltip="https://login.consultant.ru/link/?req=doc&amp;base=LAW&amp;n=495001&amp;dst=100981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статьей 87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34. Акт контрольного (надзорного)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35. Ознакомление контролируемого лица с результатом контрольного (надзорного) мероприятия осуществляется в соответствии со </w:t>
      </w:r>
      <w:hyperlink r:id="rId32" w:tooltip="https://login.consultant.ru/link/?req=doc&amp;base=LAW&amp;n=495001&amp;dst=100987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статьей 88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36. В случае выявления при проведении контрольного (надзорного) мероприятия, предусматривающего взаимодействие с контролируемым лицом, нарушений контролируемым лицом обязательных требований министерство обязано принять решения, предусмотренные </w:t>
      </w:r>
      <w:hyperlink r:id="rId33" w:tooltip="https://login.consultant.ru/link/?req=doc&amp;base=LAW&amp;n=495001&amp;dst=100998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частью 2 статьи 90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VII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 </w:t>
      </w:r>
      <w:bookmarkStart w:id="0" w:name="undefined"/>
      <w:r>
        <w:rPr>
          <w:rFonts w:ascii="Times New Roman" w:hAnsi="Times New Roman" w:cs="Times New Roman"/>
          <w:b/>
          <w:bCs/>
          <w:sz w:val="28"/>
          <w:szCs w:val="28"/>
        </w:rPr>
        <w:t xml:space="preserve">Ключевые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индикативные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показатели регионального государственного контроля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 их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целевые значения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pacing w:val="-2"/>
          <w:sz w:val="28"/>
          <w:szCs w:val="28"/>
        </w:rPr>
      </w:r>
      <w:r>
        <w:rPr>
          <w:rFonts w:ascii="Times New Roman" w:hAnsi="Times New Roman" w:cs="Times New Roman"/>
          <w:spacing w:val="-2"/>
          <w:sz w:val="28"/>
          <w:szCs w:val="28"/>
        </w:rPr>
      </w:r>
    </w:p>
    <w:p>
      <w:pPr>
        <w:contextualSpacing w:val="0"/>
        <w:ind w:left="0" w:right="0"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Оценка результативности и эффективности деятельности министерства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 должностных лиц Министерства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 региональному государственному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контролю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осуществляется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основе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системы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показателей результативности и эффективности регионального государственного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соответствии с Ключевыми показателями,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утвержденными настоящим постановлением.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0"/>
        <w:jc w:val="center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</w:rPr>
        <w:t xml:space="preserve">VIII. Досудебный порядок обжалования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0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38. Контролируемые лица, права и законные интересы которых, по их мнению, были непосредственно нарушены в рамках осуществления регионального государственного контроля, имеют право на досудебное обжалование решений и действий (бездействия) должностных лиц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министерства, указанных в </w:t>
      </w:r>
      <w:hyperlink r:id="rId34" w:tooltip="https://login.consultant.ru/link/?req=doc&amp;base=LAW&amp;n=495001&amp;dst=101143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части 4 статьи 40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39. Жалоба подается контролируемым лицом в министерство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енного </w:t>
      </w:r>
      <w:hyperlink r:id="rId35" w:tooltip="https://login.consultant.ru/link/?req=doc&amp;base=LAW&amp;n=495001&amp;dst=101142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частью 1.1 статьи 40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в министерство без использования единого портала государственных и муниципальных услуг и (или) региональных портал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ов государственных и муниципальных услуг с учетом требований законодательства Российской Федерации о государственной и иной охраняемой законом тайне.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40. При обжаловании решений министерства (за исключением решений, подписанных руководителем министерства), действий (бездействия) должностных лиц министерства жалоба рассматривается руководителем министерства.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41. При обжаловании решений министерства, подписанных руководителем министерства, действий (бездействия) руководителя министерства жалоба рассматривается руководителем министерства или коллегиальным органом, созданным министерством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из числа ее должностных лиц для рассмотрения жалоб.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42. Жалоба на решение министерства, действия (бездействие) должностных лиц министерства может быть подана в течение 30 дней со дня, когда контролируемое лицо узнало или должно было узнать о нарушении своих прав.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43. Жалоба на предписание министерства может быть подана в течение 10 рабочих дней с даты получения контролируемым лицом предписания.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44. Жалоба подлежит рассмотрению в течение 15 рабочих дней со дня ее регистрации в информационной системе (подсистеме государственной информационной системы) досудебного обжалования контрольной (надзорной) деятельности (далее - подсистема досудебного обжа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лования).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Министерство при рассмотрении жалобы использует подсистему досудебного обжалования,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Рассмотрение жалобы, связанной со сведениями и документами, составляющими государственную или иную охраняемую законом тайну, а также направление решения, принятого в результате рассмотрения такой жалобы, осуществляются с учетом требований законодательства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Российской Федерации о государственной и иной охраняемой законом тайне.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eastAsia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45. Досудебное обжалование осуществляется в порядке, предусмотренном </w:t>
      </w:r>
      <w:hyperlink r:id="rId36" w:tooltip="https://login.consultant.ru/link/?req=doc&amp;base=LAW&amp;n=495001&amp;dst=100422" w:history="1">
        <w:r>
          <w:rPr>
            <w:rStyle w:val="907"/>
            <w:rFonts w:ascii="Times New Roman" w:hAnsi="Times New Roman" w:eastAsia="Times New Roman" w:cs="Times New Roman"/>
            <w:color w:val="auto"/>
            <w:sz w:val="28"/>
            <w:szCs w:val="28"/>
            <w:u w:val="none"/>
          </w:rPr>
          <w:t xml:space="preserve">главой 9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Федерального закона от 31.07.2020 № 248-ФЗ.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both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center"/>
        <w:spacing w:before="0" w:beforeAutospacing="0" w:after="0" w:line="57" w:lineRule="atLeast"/>
        <w:rPr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color w:val="auto"/>
          <w:sz w:val="28"/>
          <w:szCs w:val="28"/>
        </w:rPr>
        <w:br/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0" w:right="0" w:firstLine="539"/>
        <w:jc w:val="center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539"/>
        <w:jc w:val="center"/>
        <w:spacing w:before="0" w:beforeAutospacing="0" w:after="0" w:line="57" w:lineRule="atLeast"/>
        <w:rPr>
          <w:rFonts w:ascii="Times New Roman" w:hAnsi="Times New Roman" w:cs="Times New Roman"/>
          <w:color w:val="auto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16246680"/>
      <w:docPartObj>
        <w:docPartGallery w:val="Page Numbers (Top of Page)"/>
        <w:docPartUnique w:val="true"/>
      </w:docPartObj>
      <w:rPr/>
    </w:sdtPr>
    <w:sdtContent>
      <w:p>
        <w:pPr>
          <w:pStyle w:val="90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18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  <w:p>
        <w:pPr>
          <w:pStyle w:val="90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decimal"/>
      <w:isLgl w:val="false"/>
      <w:suff w:val="tab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6"/>
  </w:num>
  <w:num w:numId="4">
    <w:abstractNumId w:val="12"/>
  </w:num>
  <w:num w:numId="5">
    <w:abstractNumId w:val="10"/>
  </w:num>
  <w:num w:numId="6">
    <w:abstractNumId w:val="6"/>
  </w:num>
  <w:num w:numId="7">
    <w:abstractNumId w:val="0"/>
  </w:num>
  <w:num w:numId="8">
    <w:abstractNumId w:val="15"/>
  </w:num>
  <w:num w:numId="9">
    <w:abstractNumId w:val="5"/>
  </w:num>
  <w:num w:numId="10">
    <w:abstractNumId w:val="4"/>
  </w:num>
  <w:num w:numId="11">
    <w:abstractNumId w:val="1"/>
  </w:num>
  <w:num w:numId="12">
    <w:abstractNumId w:val="7"/>
  </w:num>
  <w:num w:numId="13">
    <w:abstractNumId w:val="11"/>
  </w:num>
  <w:num w:numId="14">
    <w:abstractNumId w:val="14"/>
  </w:num>
  <w:num w:numId="15">
    <w:abstractNumId w:val="3"/>
  </w:num>
  <w:num w:numId="16">
    <w:abstractNumId w:val="13"/>
  </w:num>
  <w:num w:numId="17">
    <w:abstractNumId w:val="2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0">
    <w:name w:val="Heading 1 Char"/>
    <w:basedOn w:val="894"/>
    <w:link w:val="893"/>
    <w:uiPriority w:val="9"/>
    <w:rPr>
      <w:rFonts w:ascii="Arial" w:hAnsi="Arial" w:eastAsia="Arial" w:cs="Arial"/>
      <w:sz w:val="40"/>
      <w:szCs w:val="40"/>
    </w:rPr>
  </w:style>
  <w:style w:type="paragraph" w:styleId="721">
    <w:name w:val="Heading 2"/>
    <w:basedOn w:val="892"/>
    <w:next w:val="892"/>
    <w:link w:val="72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2">
    <w:name w:val="Heading 2 Char"/>
    <w:basedOn w:val="894"/>
    <w:link w:val="721"/>
    <w:uiPriority w:val="9"/>
    <w:rPr>
      <w:rFonts w:ascii="Arial" w:hAnsi="Arial" w:eastAsia="Arial" w:cs="Arial"/>
      <w:sz w:val="34"/>
    </w:rPr>
  </w:style>
  <w:style w:type="paragraph" w:styleId="723">
    <w:name w:val="Heading 3"/>
    <w:basedOn w:val="892"/>
    <w:next w:val="892"/>
    <w:link w:val="72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4">
    <w:name w:val="Heading 3 Char"/>
    <w:basedOn w:val="894"/>
    <w:link w:val="723"/>
    <w:uiPriority w:val="9"/>
    <w:rPr>
      <w:rFonts w:ascii="Arial" w:hAnsi="Arial" w:eastAsia="Arial" w:cs="Arial"/>
      <w:sz w:val="30"/>
      <w:szCs w:val="30"/>
    </w:rPr>
  </w:style>
  <w:style w:type="paragraph" w:styleId="725">
    <w:name w:val="Heading 4"/>
    <w:basedOn w:val="892"/>
    <w:next w:val="892"/>
    <w:link w:val="72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6">
    <w:name w:val="Heading 4 Char"/>
    <w:basedOn w:val="894"/>
    <w:link w:val="725"/>
    <w:uiPriority w:val="9"/>
    <w:rPr>
      <w:rFonts w:ascii="Arial" w:hAnsi="Arial" w:eastAsia="Arial" w:cs="Arial"/>
      <w:b/>
      <w:bCs/>
      <w:sz w:val="26"/>
      <w:szCs w:val="26"/>
    </w:rPr>
  </w:style>
  <w:style w:type="paragraph" w:styleId="727">
    <w:name w:val="Heading 5"/>
    <w:basedOn w:val="892"/>
    <w:next w:val="892"/>
    <w:link w:val="7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8">
    <w:name w:val="Heading 5 Char"/>
    <w:basedOn w:val="894"/>
    <w:link w:val="727"/>
    <w:uiPriority w:val="9"/>
    <w:rPr>
      <w:rFonts w:ascii="Arial" w:hAnsi="Arial" w:eastAsia="Arial" w:cs="Arial"/>
      <w:b/>
      <w:bCs/>
      <w:sz w:val="24"/>
      <w:szCs w:val="24"/>
    </w:rPr>
  </w:style>
  <w:style w:type="paragraph" w:styleId="729">
    <w:name w:val="Heading 6"/>
    <w:basedOn w:val="892"/>
    <w:next w:val="892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0">
    <w:name w:val="Heading 6 Char"/>
    <w:basedOn w:val="894"/>
    <w:link w:val="729"/>
    <w:uiPriority w:val="9"/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892"/>
    <w:next w:val="892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7 Char"/>
    <w:basedOn w:val="894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892"/>
    <w:next w:val="892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4">
    <w:name w:val="Heading 8 Char"/>
    <w:basedOn w:val="894"/>
    <w:link w:val="733"/>
    <w:uiPriority w:val="9"/>
    <w:rPr>
      <w:rFonts w:ascii="Arial" w:hAnsi="Arial" w:eastAsia="Arial" w:cs="Arial"/>
      <w:i/>
      <w:iCs/>
      <w:sz w:val="22"/>
      <w:szCs w:val="22"/>
    </w:rPr>
  </w:style>
  <w:style w:type="paragraph" w:styleId="735">
    <w:name w:val="Heading 9"/>
    <w:basedOn w:val="892"/>
    <w:next w:val="892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Heading 9 Char"/>
    <w:basedOn w:val="894"/>
    <w:link w:val="735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No Spacing"/>
    <w:uiPriority w:val="1"/>
    <w:qFormat/>
    <w:pPr>
      <w:spacing w:before="0" w:after="0" w:line="240" w:lineRule="auto"/>
    </w:pPr>
  </w:style>
  <w:style w:type="paragraph" w:styleId="738">
    <w:name w:val="Title"/>
    <w:basedOn w:val="892"/>
    <w:next w:val="892"/>
    <w:link w:val="73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9">
    <w:name w:val="Title Char"/>
    <w:basedOn w:val="894"/>
    <w:link w:val="738"/>
    <w:uiPriority w:val="10"/>
    <w:rPr>
      <w:sz w:val="48"/>
      <w:szCs w:val="48"/>
    </w:rPr>
  </w:style>
  <w:style w:type="paragraph" w:styleId="740">
    <w:name w:val="Subtitle"/>
    <w:basedOn w:val="892"/>
    <w:next w:val="892"/>
    <w:link w:val="741"/>
    <w:uiPriority w:val="11"/>
    <w:qFormat/>
    <w:pPr>
      <w:spacing w:before="200" w:after="200"/>
    </w:pPr>
    <w:rPr>
      <w:sz w:val="24"/>
      <w:szCs w:val="24"/>
    </w:rPr>
  </w:style>
  <w:style w:type="character" w:styleId="741">
    <w:name w:val="Subtitle Char"/>
    <w:basedOn w:val="894"/>
    <w:link w:val="740"/>
    <w:uiPriority w:val="11"/>
    <w:rPr>
      <w:sz w:val="24"/>
      <w:szCs w:val="24"/>
    </w:rPr>
  </w:style>
  <w:style w:type="paragraph" w:styleId="742">
    <w:name w:val="Quote"/>
    <w:basedOn w:val="892"/>
    <w:next w:val="892"/>
    <w:link w:val="743"/>
    <w:uiPriority w:val="29"/>
    <w:qFormat/>
    <w:pPr>
      <w:ind w:left="720" w:right="720"/>
    </w:pPr>
    <w:rPr>
      <w:i/>
    </w:rPr>
  </w:style>
  <w:style w:type="character" w:styleId="743">
    <w:name w:val="Quote Char"/>
    <w:link w:val="742"/>
    <w:uiPriority w:val="29"/>
    <w:rPr>
      <w:i/>
    </w:rPr>
  </w:style>
  <w:style w:type="paragraph" w:styleId="744">
    <w:name w:val="Intense Quote"/>
    <w:basedOn w:val="892"/>
    <w:next w:val="892"/>
    <w:link w:val="74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5">
    <w:name w:val="Intense Quote Char"/>
    <w:link w:val="744"/>
    <w:uiPriority w:val="30"/>
    <w:rPr>
      <w:i/>
    </w:rPr>
  </w:style>
  <w:style w:type="character" w:styleId="746">
    <w:name w:val="Header Char"/>
    <w:basedOn w:val="894"/>
    <w:link w:val="902"/>
    <w:uiPriority w:val="99"/>
  </w:style>
  <w:style w:type="character" w:styleId="747">
    <w:name w:val="Footer Char"/>
    <w:basedOn w:val="894"/>
    <w:link w:val="904"/>
    <w:uiPriority w:val="99"/>
  </w:style>
  <w:style w:type="paragraph" w:styleId="748">
    <w:name w:val="Caption"/>
    <w:basedOn w:val="892"/>
    <w:next w:val="8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9">
    <w:name w:val="Caption Char"/>
    <w:basedOn w:val="748"/>
    <w:link w:val="904"/>
    <w:uiPriority w:val="99"/>
  </w:style>
  <w:style w:type="table" w:styleId="750">
    <w:name w:val="Table Grid Light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8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basedOn w:val="8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9">
    <w:name w:val="List Table 7 Colorful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0">
    <w:name w:val="List Table 7 Colorful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1">
    <w:name w:val="List Table 7 Colorful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2">
    <w:name w:val="List Table 7 Colorful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53">
    <w:name w:val="List Table 7 Colorful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4">
    <w:name w:val="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6">
    <w:name w:val="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7">
    <w:name w:val="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8">
    <w:name w:val="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9">
    <w:name w:val="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0">
    <w:name w:val="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1">
    <w:name w:val="Bordered &amp; Lined - Accent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63">
    <w:name w:val="Bordered &amp; Lined - Accent 2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4">
    <w:name w:val="Bordered &amp; Lined - Accent 3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5">
    <w:name w:val="Bordered &amp; Lined - Accent 4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6">
    <w:name w:val="Bordered &amp; Lined - Accent 5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7">
    <w:name w:val="Bordered &amp; Lined - Accent 6"/>
    <w:basedOn w:val="8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8">
    <w:name w:val="Bordered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basedOn w:val="8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basedOn w:val="894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basedOn w:val="894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qFormat/>
  </w:style>
  <w:style w:type="paragraph" w:styleId="893">
    <w:name w:val="Heading 1"/>
    <w:basedOn w:val="892"/>
    <w:next w:val="892"/>
    <w:link w:val="899"/>
    <w:uiPriority w:val="99"/>
    <w:qFormat/>
    <w:pPr>
      <w:jc w:val="center"/>
      <w:spacing w:before="108" w:after="108" w:line="240" w:lineRule="auto"/>
      <w:outlineLvl w:val="0"/>
    </w:pPr>
    <w:rPr>
      <w:rFonts w:ascii="Arial" w:hAnsi="Arial" w:eastAsia="Times New Roman" w:cs="Arial"/>
      <w:b/>
      <w:bCs/>
      <w:color w:val="000080"/>
      <w:sz w:val="24"/>
      <w:szCs w:val="24"/>
      <w:lang w:eastAsia="ru-RU"/>
    </w:rPr>
  </w:style>
  <w:style w:type="character" w:styleId="894" w:default="1">
    <w:name w:val="Default Paragraph Font"/>
    <w:uiPriority w:val="1"/>
    <w:semiHidden/>
    <w:unhideWhenUsed/>
  </w:style>
  <w:style w:type="table" w:styleId="8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6" w:default="1">
    <w:name w:val="No List"/>
    <w:uiPriority w:val="99"/>
    <w:semiHidden/>
    <w:unhideWhenUsed/>
  </w:style>
  <w:style w:type="paragraph" w:styleId="897">
    <w:name w:val="List Paragraph"/>
    <w:basedOn w:val="892"/>
    <w:uiPriority w:val="34"/>
    <w:qFormat/>
    <w:pPr>
      <w:contextualSpacing/>
      <w:ind w:left="720"/>
    </w:pPr>
  </w:style>
  <w:style w:type="table" w:styleId="898">
    <w:name w:val="Table Grid"/>
    <w:basedOn w:val="89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99" w:customStyle="1">
    <w:name w:val="Заголовок 1 Знак"/>
    <w:basedOn w:val="894"/>
    <w:link w:val="893"/>
    <w:uiPriority w:val="99"/>
    <w:rPr>
      <w:rFonts w:ascii="Arial" w:hAnsi="Arial" w:eastAsia="Times New Roman" w:cs="Arial"/>
      <w:b/>
      <w:bCs/>
      <w:color w:val="000080"/>
      <w:sz w:val="24"/>
      <w:szCs w:val="24"/>
      <w:lang w:eastAsia="ru-RU"/>
    </w:rPr>
  </w:style>
  <w:style w:type="character" w:styleId="900" w:customStyle="1">
    <w:name w:val="pt-a0"/>
  </w:style>
  <w:style w:type="paragraph" w:styleId="901" w:customStyle="1">
    <w:name w:val="pt-a-000005"/>
    <w:basedOn w:val="89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2">
    <w:name w:val="Header"/>
    <w:basedOn w:val="892"/>
    <w:link w:val="90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3" w:customStyle="1">
    <w:name w:val="Верхний колонтитул Знак"/>
    <w:basedOn w:val="894"/>
    <w:link w:val="902"/>
    <w:uiPriority w:val="99"/>
  </w:style>
  <w:style w:type="paragraph" w:styleId="904">
    <w:name w:val="Footer"/>
    <w:basedOn w:val="892"/>
    <w:link w:val="90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5" w:customStyle="1">
    <w:name w:val="Нижний колонтитул Знак"/>
    <w:basedOn w:val="894"/>
    <w:link w:val="904"/>
    <w:uiPriority w:val="99"/>
  </w:style>
  <w:style w:type="character" w:styleId="906">
    <w:name w:val="Emphasis"/>
    <w:basedOn w:val="894"/>
    <w:uiPriority w:val="20"/>
    <w:qFormat/>
    <w:rPr>
      <w:i/>
      <w:iCs/>
    </w:rPr>
  </w:style>
  <w:style w:type="character" w:styleId="907">
    <w:name w:val="Hyperlink"/>
    <w:basedOn w:val="894"/>
    <w:uiPriority w:val="99"/>
    <w:unhideWhenUsed/>
    <w:rPr>
      <w:color w:val="0563c1" w:themeColor="hyperlink"/>
      <w:u w:val="single"/>
    </w:rPr>
  </w:style>
  <w:style w:type="paragraph" w:styleId="908">
    <w:name w:val="Balloon Text"/>
    <w:basedOn w:val="892"/>
    <w:link w:val="90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9" w:customStyle="1">
    <w:name w:val="Текст выноски Знак"/>
    <w:basedOn w:val="894"/>
    <w:link w:val="908"/>
    <w:uiPriority w:val="99"/>
    <w:semiHidden/>
    <w:rPr>
      <w:rFonts w:ascii="Segoe UI" w:hAnsi="Segoe UI" w:cs="Segoe UI"/>
      <w:sz w:val="18"/>
      <w:szCs w:val="18"/>
    </w:rPr>
  </w:style>
  <w:style w:type="paragraph" w:styleId="910" w:customStyle="1">
    <w:name w:val="s_1"/>
    <w:basedOn w:val="89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1" w:customStyle="1">
    <w:name w:val="ConsPlusNormal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912">
    <w:name w:val="Normal (Web)"/>
    <w:basedOn w:val="892"/>
    <w:uiPriority w:val="99"/>
    <w:unhideWhenUsed/>
    <w:rPr>
      <w:rFonts w:ascii="Times New Roman" w:hAnsi="Times New Roman" w:cs="Times New Roman"/>
      <w:sz w:val="24"/>
      <w:szCs w:val="24"/>
    </w:rPr>
  </w:style>
  <w:style w:type="character" w:styleId="913" w:customStyle="1">
    <w:name w:val="Неразрешенное упоминание1"/>
    <w:basedOn w:val="894"/>
    <w:uiPriority w:val="99"/>
    <w:semiHidden/>
    <w:unhideWhenUsed/>
    <w:rPr>
      <w:color w:val="605e5c"/>
      <w:shd w:val="clear" w:color="auto" w:fill="e1dfdd"/>
    </w:rPr>
  </w:style>
  <w:style w:type="character" w:styleId="914">
    <w:name w:val="annotation reference"/>
    <w:basedOn w:val="894"/>
    <w:uiPriority w:val="99"/>
    <w:semiHidden/>
    <w:unhideWhenUsed/>
    <w:rPr>
      <w:sz w:val="16"/>
      <w:szCs w:val="16"/>
    </w:rPr>
  </w:style>
  <w:style w:type="paragraph" w:styleId="915">
    <w:name w:val="annotation text"/>
    <w:basedOn w:val="892"/>
    <w:link w:val="91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16" w:customStyle="1">
    <w:name w:val="Текст примечания Знак"/>
    <w:basedOn w:val="894"/>
    <w:link w:val="915"/>
    <w:uiPriority w:val="99"/>
    <w:semiHidden/>
    <w:rPr>
      <w:sz w:val="20"/>
      <w:szCs w:val="20"/>
    </w:rPr>
  </w:style>
  <w:style w:type="paragraph" w:styleId="917">
    <w:name w:val="annotation subject"/>
    <w:basedOn w:val="915"/>
    <w:next w:val="915"/>
    <w:link w:val="918"/>
    <w:uiPriority w:val="99"/>
    <w:semiHidden/>
    <w:unhideWhenUsed/>
    <w:rPr>
      <w:b/>
      <w:bCs/>
    </w:rPr>
  </w:style>
  <w:style w:type="character" w:styleId="918" w:customStyle="1">
    <w:name w:val="Тема примечания Знак"/>
    <w:basedOn w:val="916"/>
    <w:link w:val="917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login.consultant.ru/link/?req=doc&amp;base=LAW&amp;n=481246&amp;dst=100011" TargetMode="External"/><Relationship Id="rId12" Type="http://schemas.openxmlformats.org/officeDocument/2006/relationships/hyperlink" Target="https://login.consultant.ru/link/?req=doc&amp;base=LAW&amp;n=495001&amp;dst=100315" TargetMode="External"/><Relationship Id="rId13" Type="http://schemas.openxmlformats.org/officeDocument/2006/relationships/hyperlink" Target="https://login.consultant.ru/link/?req=doc&amp;base=LAW&amp;n=481246&amp;dst=100024" TargetMode="External"/><Relationship Id="rId14" Type="http://schemas.openxmlformats.org/officeDocument/2006/relationships/hyperlink" Target="https://login.consultant.ru/link/?req=doc&amp;base=LAW&amp;n=481246&amp;dst=100040" TargetMode="External"/><Relationship Id="rId15" Type="http://schemas.openxmlformats.org/officeDocument/2006/relationships/hyperlink" Target="https://login.consultant.ru/link/?req=doc&amp;base=LAW&amp;n=495001&amp;dst=100173" TargetMode="External"/><Relationship Id="rId16" Type="http://schemas.openxmlformats.org/officeDocument/2006/relationships/hyperlink" Target="https://login.consultant.ru/link/?req=doc&amp;base=LAW&amp;n=495001&amp;dst=100487" TargetMode="External"/><Relationship Id="rId17" Type="http://schemas.openxmlformats.org/officeDocument/2006/relationships/hyperlink" Target="https://login.consultant.ru/link/?req=doc&amp;base=LAW&amp;n=495001&amp;dst=100509" TargetMode="External"/><Relationship Id="rId18" Type="http://schemas.openxmlformats.org/officeDocument/2006/relationships/hyperlink" Target="https://login.consultant.ru/link/?req=doc&amp;base=LAW&amp;n=495001&amp;dst=101131" TargetMode="External"/><Relationship Id="rId19" Type="http://schemas.openxmlformats.org/officeDocument/2006/relationships/hyperlink" Target="https://login.consultant.ru/link/?req=doc&amp;base=LAW&amp;n=495001&amp;dst=101366" TargetMode="External"/><Relationship Id="rId20" Type="http://schemas.openxmlformats.org/officeDocument/2006/relationships/hyperlink" Target="https://login.consultant.ru/link/?req=doc&amp;base=LAW&amp;n=495001&amp;dst=101391" TargetMode="External"/><Relationship Id="rId21" Type="http://schemas.openxmlformats.org/officeDocument/2006/relationships/hyperlink" Target="https://login.consultant.ru/link/?req=doc&amp;base=LAW&amp;n=495001&amp;dst=101391" TargetMode="External"/><Relationship Id="rId22" Type="http://schemas.openxmlformats.org/officeDocument/2006/relationships/hyperlink" Target="https://login.consultant.ru/link/?req=doc&amp;base=LAW&amp;n=495001&amp;dst=100728" TargetMode="External"/><Relationship Id="rId23" Type="http://schemas.openxmlformats.org/officeDocument/2006/relationships/hyperlink" Target="https://login.consultant.ru/link/?req=doc&amp;base=LAW&amp;n=495001&amp;dst=101176" TargetMode="External"/><Relationship Id="rId24" Type="http://schemas.openxmlformats.org/officeDocument/2006/relationships/hyperlink" Target="https://login.consultant.ru/link/?req=doc&amp;base=LAW&amp;n=495001&amp;dst=100851" TargetMode="External"/><Relationship Id="rId25" Type="http://schemas.openxmlformats.org/officeDocument/2006/relationships/hyperlink" Target="https://login.consultant.ru/link/?req=doc&amp;base=LAW&amp;n=495001&amp;dst=101410" TargetMode="External"/><Relationship Id="rId26" Type="http://schemas.openxmlformats.org/officeDocument/2006/relationships/hyperlink" Target="https://login.consultant.ru/link/?req=doc&amp;base=LAW&amp;n=495001&amp;dst=100637" TargetMode="External"/><Relationship Id="rId27" Type="http://schemas.openxmlformats.org/officeDocument/2006/relationships/hyperlink" Target="https://login.consultant.ru/link/?req=doc&amp;base=LAW&amp;n=495001&amp;dst=100639" TargetMode="External"/><Relationship Id="rId28" Type="http://schemas.openxmlformats.org/officeDocument/2006/relationships/hyperlink" Target="https://login.consultant.ru/link/?req=doc&amp;base=LAW&amp;n=495001&amp;dst=101412" TargetMode="External"/><Relationship Id="rId29" Type="http://schemas.openxmlformats.org/officeDocument/2006/relationships/hyperlink" Target="https://login.consultant.ru/link/?req=doc&amp;base=LAW&amp;n=495001&amp;dst=100913" TargetMode="External"/><Relationship Id="rId30" Type="http://schemas.openxmlformats.org/officeDocument/2006/relationships/hyperlink" Target="https://login.consultant.ru/link/?req=doc&amp;base=LAW&amp;n=495001&amp;dst=100917" TargetMode="External"/><Relationship Id="rId31" Type="http://schemas.openxmlformats.org/officeDocument/2006/relationships/hyperlink" Target="https://login.consultant.ru/link/?req=doc&amp;base=LAW&amp;n=495001&amp;dst=100981" TargetMode="External"/><Relationship Id="rId32" Type="http://schemas.openxmlformats.org/officeDocument/2006/relationships/hyperlink" Target="https://login.consultant.ru/link/?req=doc&amp;base=LAW&amp;n=495001&amp;dst=100987" TargetMode="External"/><Relationship Id="rId33" Type="http://schemas.openxmlformats.org/officeDocument/2006/relationships/hyperlink" Target="https://login.consultant.ru/link/?req=doc&amp;base=LAW&amp;n=495001&amp;dst=100998" TargetMode="External"/><Relationship Id="rId34" Type="http://schemas.openxmlformats.org/officeDocument/2006/relationships/hyperlink" Target="https://login.consultant.ru/link/?req=doc&amp;base=LAW&amp;n=495001&amp;dst=101143" TargetMode="External"/><Relationship Id="rId35" Type="http://schemas.openxmlformats.org/officeDocument/2006/relationships/hyperlink" Target="https://login.consultant.ru/link/?req=doc&amp;base=LAW&amp;n=495001&amp;dst=101142" TargetMode="External"/><Relationship Id="rId36" Type="http://schemas.openxmlformats.org/officeDocument/2006/relationships/hyperlink" Target="https://login.consultant.ru/link/?req=doc&amp;base=LAW&amp;n=495001&amp;dst=10042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9428C-D525-4DF5-884C-A544F505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Hewlett-Packard 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2025-03-04T12:56:00Z</dcterms:created>
  <dcterms:modified xsi:type="dcterms:W3CDTF">2025-04-30T08:02:24Z</dcterms:modified>
</cp:coreProperties>
</file>