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0490"/>
        <w:jc w:val="center"/>
        <w:spacing w:after="0" w:line="240" w:lineRule="auto"/>
        <w:widowControl w:val="off"/>
        <w:rPr>
          <w:rFonts w:ascii="Times New Roman" w:hAnsi="Times New Roman" w:eastAsia="Times New Roman" w:cs="Tahoma"/>
          <w:sz w:val="28"/>
          <w:szCs w:val="28"/>
        </w:rPr>
      </w:pPr>
      <w:r>
        <w:rPr>
          <w:rFonts w:ascii="Times New Roman" w:hAnsi="Times New Roman" w:eastAsia="Times New Roman" w:cs="Tahoma"/>
          <w:sz w:val="28"/>
          <w:szCs w:val="28"/>
        </w:rPr>
      </w:r>
      <w:r>
        <w:rPr>
          <w:rFonts w:ascii="Times New Roman" w:hAnsi="Times New Roman" w:eastAsia="Times New Roman" w:cs="Tahoma"/>
          <w:sz w:val="28"/>
          <w:szCs w:val="28"/>
        </w:rPr>
      </w:r>
      <w:r>
        <w:rPr>
          <w:rFonts w:ascii="Times New Roman" w:hAnsi="Times New Roman" w:eastAsia="Times New Roman" w:cs="Tahoma"/>
          <w:sz w:val="28"/>
          <w:szCs w:val="28"/>
        </w:rPr>
      </w:r>
    </w:p>
    <w:p>
      <w:pPr>
        <w:ind w:left="10490"/>
        <w:jc w:val="right"/>
        <w:spacing w:after="0" w:line="240" w:lineRule="auto"/>
        <w:widowControl w:val="off"/>
        <w:rPr>
          <w:rFonts w:ascii="Times New Roman" w:hAnsi="Times New Roman" w:eastAsia="Times New Roman" w:cs="Tahoma"/>
          <w:sz w:val="28"/>
          <w:szCs w:val="28"/>
        </w:rPr>
      </w:pPr>
      <w:r>
        <w:rPr>
          <w:rFonts w:ascii="Times New Roman" w:hAnsi="Times New Roman" w:eastAsia="Times New Roman" w:cs="Tahoma"/>
          <w:sz w:val="28"/>
          <w:szCs w:val="28"/>
        </w:rPr>
        <w:t xml:space="preserve">УТВЕРЖДЕНЫ</w:t>
      </w:r>
      <w:r>
        <w:rPr>
          <w:rFonts w:ascii="Times New Roman" w:hAnsi="Times New Roman" w:eastAsia="Times New Roman" w:cs="Tahoma"/>
          <w:sz w:val="28"/>
          <w:szCs w:val="28"/>
        </w:rPr>
      </w:r>
      <w:r>
        <w:rPr>
          <w:rFonts w:ascii="Times New Roman" w:hAnsi="Times New Roman" w:eastAsia="Times New Roman" w:cs="Tahoma"/>
          <w:sz w:val="28"/>
          <w:szCs w:val="28"/>
        </w:rPr>
      </w:r>
    </w:p>
    <w:p>
      <w:pPr>
        <w:ind w:left="10490"/>
        <w:jc w:val="right"/>
        <w:spacing w:after="0" w:line="240" w:lineRule="auto"/>
        <w:widowControl w:val="off"/>
        <w:rPr>
          <w:rFonts w:ascii="Times New Roman" w:hAnsi="Times New Roman" w:eastAsia="Times New Roman" w:cs="Tahoma"/>
          <w:sz w:val="28"/>
          <w:szCs w:val="28"/>
        </w:rPr>
      </w:pPr>
      <w:r>
        <w:rPr>
          <w:rFonts w:ascii="Times New Roman" w:hAnsi="Times New Roman" w:eastAsia="Times New Roman" w:cs="Tahoma"/>
          <w:sz w:val="28"/>
          <w:szCs w:val="28"/>
        </w:rPr>
        <w:t xml:space="preserve">постановлением Правительства</w:t>
      </w:r>
      <w:r>
        <w:rPr>
          <w:rFonts w:ascii="Times New Roman" w:hAnsi="Times New Roman" w:eastAsia="Times New Roman" w:cs="Tahoma"/>
          <w:sz w:val="28"/>
          <w:szCs w:val="28"/>
        </w:rPr>
      </w:r>
      <w:r>
        <w:rPr>
          <w:rFonts w:ascii="Times New Roman" w:hAnsi="Times New Roman" w:eastAsia="Times New Roman" w:cs="Tahoma"/>
          <w:sz w:val="28"/>
          <w:szCs w:val="28"/>
        </w:rPr>
      </w:r>
    </w:p>
    <w:p>
      <w:pPr>
        <w:ind w:left="10490"/>
        <w:jc w:val="right"/>
        <w:spacing w:after="0" w:line="240" w:lineRule="auto"/>
        <w:widowControl w:val="off"/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  <w:t xml:space="preserve">Новосибирской области</w:t>
      </w:r>
      <w:r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</w:r>
      <w:r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</w:r>
    </w:p>
    <w:p>
      <w:pPr>
        <w:ind w:left="10490"/>
        <w:jc w:val="right"/>
        <w:spacing w:after="0" w:line="240" w:lineRule="auto"/>
        <w:widowControl w:val="off"/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  <w:t xml:space="preserve">от ______ № _____</w:t>
      </w:r>
      <w:r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</w:r>
      <w:r>
        <w:rPr>
          <w:rFonts w:ascii="Times New Roman" w:hAnsi="Times New Roman" w:eastAsia="Arial Unicode MS" w:cs="Times New Roman"/>
          <w:sz w:val="28"/>
          <w:szCs w:val="28"/>
          <w:lang w:eastAsia="hi-IN" w:bidi="hi-IN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их целевые значения, индикативные показатели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регионального государственного контроля (надзора) за соблюдением юридическими лицами, индивидуальными предпринимателями, подрядчиками требований к порядку и срокам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размещения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в информационной системе информации и сведений,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необходимых для строительства жилых домов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по договорам строительного подряда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tbl>
      <w:tblPr>
        <w:tblW w:w="15377" w:type="dxa"/>
        <w:tblInd w:w="-2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485"/>
        <w:gridCol w:w="3261"/>
        <w:gridCol w:w="141"/>
        <w:gridCol w:w="67"/>
        <w:gridCol w:w="1417"/>
        <w:gridCol w:w="76"/>
        <w:gridCol w:w="425"/>
        <w:gridCol w:w="3402"/>
        <w:gridCol w:w="76"/>
        <w:gridCol w:w="1908"/>
        <w:gridCol w:w="76"/>
        <w:gridCol w:w="3043"/>
      </w:tblGrid>
      <w:tr>
        <w:tblPrEx/>
        <w:trPr>
          <w:trHeight w:val="12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(индекс)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формула расчета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(интерпретация значений)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left="-131" w:right="-137"/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значения показателей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ind w:left="-128" w:right="-116"/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 данных для определения значения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171"/>
        </w:trPr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Ключевые 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результативности, отражающие уровень безопасности охраняемых законом ценностей, выражающийся в минимизации причинения им вреда (ущерба)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егио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нальный государственный контроль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(надзор) за собл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юдением юридическими лицами, индивидуальными предпринимателями, подрядчиками требований к порядку и срокам размещения в информационной системе информации и сведений, предусмотренных частями 2 и 4 статьи 4 Федерального закона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 22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июля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2024 года № 186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ФЗ «О строительстве жилых домов по договорам строительного подряда с использованием счетов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эскроу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», необходимых для строительства жилых домов по договорам строительного подряда.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А.3.1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Доля жилых домов, 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троящихся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строительство которых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завершено в срок, указанный в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информационной системы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в  общем количестве жилых домов,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троящихся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строительство которых завершено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(К)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=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  <w:u w:val="none"/>
              </w:rPr>
              <w:t xml:space="preserve"> 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  <w:u w:val="none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  <w:u w:val="none"/>
              </w:rPr>
              <w:t xml:space="preserve">К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white"/>
                <w:u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  <w:u w:val="none"/>
              </w:rPr>
              <w:t xml:space="preserve">*100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  <w:u w:val="non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– количество жилых домов, строительство которых осуществлялось по договорам строительного подряда с использованием счетов эскроу и переданных заказчику в срок, указанный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информационной системы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ind w:left="0" w:right="0" w:firstLine="0"/>
              <w:jc w:val="both"/>
              <w:spacing w:before="90" w:after="90"/>
              <w:shd w:val="clear" w:color="ffffff" w:fill="ffffff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  <w:u w:val="none"/>
              </w:rPr>
              <w:t xml:space="preserve">К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highlight w:val="white"/>
                <w:u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– общее количество жилых домов,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строительство которых осуществлялось по договорам строительного подряда с использованием счетов эскроу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и переданных заказчику.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не менее 50%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ind w:right="-11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информация из информационной системы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5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А.3.2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Доля жилых домов, строительство которых осуществляется по договорам строительного подряда с использованием счетов эскроу, по которым выявлено отсутствие размещения (размещение не в полном объеме)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информационной системе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 информации и сведений, пре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дусмотренных частями 2 и 4 статьи 4 Федерального закона  № 186-ФЗ, в общем количестве жилых домов,  строительство которых осуществляется по договорам строительного подряда с использованием счетов эскроу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(Н)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Н=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 Н</w:t>
            </w:r>
            <w:r>
              <w:rPr>
                <w:rFonts w:hint="default"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/Н</w:t>
            </w:r>
            <w:r>
              <w:rPr>
                <w:rFonts w:hint="default"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*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100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beforeAutospacing="0" w:after="0" w:afterAutospacing="0" w:line="240" w:lineRule="auto"/>
              <w:shd w:val="clear" w:color="ffffff" w:fill="ffffff"/>
              <w:rPr>
                <w:rFonts w:ascii="Times New Roman" w:hAnsi="Times New Roman" w:cs="Times New Roman"/>
                <w:color w:val="020b22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hint="default"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 –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количество жилых домов, 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которых осуществляется по договорам строительного подряда с использованием счетов эскроу, по которым выявлено отсутствие размещения (размещение не в полном объеме)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 в ЕИСЖС информации и сведений, пре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дусмотренных частями 2 и 4 статьи 4 Федерального закона  № 186-ФЗ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;</w:t>
            </w:r>
            <w:r>
              <w:rPr>
                <w:rFonts w:ascii="Times New Roman" w:hAnsi="Times New Roman" w:cs="Times New Roman"/>
                <w:color w:val="020b22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20b22"/>
                <w:sz w:val="24"/>
                <w:szCs w:val="24"/>
                <w:highlight w:val="white"/>
              </w:rPr>
            </w:r>
          </w:p>
          <w:p>
            <w:pPr>
              <w:ind w:left="0" w:right="0"/>
              <w:jc w:val="both"/>
              <w:spacing w:before="0" w:beforeAutospacing="0" w:after="0" w:afterAutospacing="0" w:line="240" w:lineRule="auto"/>
              <w:shd w:val="clear" w:color="ffffff" w:fill="ffffff"/>
              <w:rPr>
                <w:rFonts w:ascii="Times New Roman" w:hAnsi="Times New Roman" w:cs="Times New Roman"/>
                <w:color w:val="020b22"/>
                <w:sz w:val="24"/>
                <w:szCs w:val="24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hint="default"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 - 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бщее количестве жилых домов,  строительство которых осуществляется по договорам строительного подряда с использованием счетов эскроу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Times New Roman" w:hAnsi="Times New Roman" w:cs="Times New Roman"/>
                <w:color w:val="020b22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color w:val="020b22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не более 5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%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ind w:right="-11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информация из информационной системы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03"/>
        </w:trPr>
        <w:tc>
          <w:tcPr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7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Индикативные показатели, характеризующие различные аспекты подконтрольной сферы и осуществления контроля (надзора)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ндикативные показатели, характеризующие непосредственное состояние подконтрольной сферы, в том числе уровень вмешательства в деятельность контролируемых лиц: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В.1.8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Доля контрольных (надзорных) мероприятий, проведенных в отношении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контролируемых лиц,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,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 по  результатам которых не было выявлено нарушений, с которыми связано причинение вреда (ущерба) охраняемым законом ценностям или возникновение угрозы причинения вреда (ущерба) охраняемым законом ценностям (Д не)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 не=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К не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выяв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мер*100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К не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выяв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–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 количество проведенных контрольных (надзорных) мероприятий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в отношении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, по результатам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которых не было выявлено нарушений;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К мер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 общее количество проведенных контрольных (надзорных) мероприятий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в отношении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right="-137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исполь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окументы, полученные в результате контрольной (надзорной)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В.1.9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Среднее  количество контрольных (надзорных)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мероприятий, проведенных в отношении одной организации,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существляющей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 (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сред)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8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сред=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мер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–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общее количество проведенных контрольных (надзорных) мероприятий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в отношении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эскроу;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общ –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right="-13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ндикативные показатели, характеризующие качество проводимых мероприятий, в том числе в части их направленности на устранение максимального объема потенциального вреда (ущерба) охраняемым законом ценностям: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6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В.2.1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 отношении 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Arial" w:hAnsi="Arial" w:eastAsia="Arial" w:cs="Arial"/>
                <w:color w:val="000000"/>
                <w:sz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Показатель  учитывает суммарное количество мероприятий (контрольных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(надзорных) и профилактических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, проведенных в отношении 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right="-27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right="-27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окументы, полученные в результате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контрольной (надзорной)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В.2.3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контролируемых лиц, у которых были устранены нарушения, выявленные в  результате проведения контрольных (надзорных)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right="-13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В.2.8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Общее количество жалоб, поданных на действия контролирующего органа при осуществлении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регионального государственного контроля (надзора)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за соблюдением контролируемыми лицами, требований к порядку и срокам размещения в ЕИСЖС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информации и сведений, предусмотренных частями 2 и 4 статьи 4 Федерального закона № 186-ФЗ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ind w:right="-13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И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ндикативные показатели, характеризующие параметры проведенных контрольными (надзорными) органами мероприятий: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В.3.1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онтрольные (надзорные) мероприятия: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</w:rPr>
              <w:t xml:space="preserve">В.3.1.1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Общее количество проведенных контрольных (надзорных)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окументы, полученные в результате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контрольной (надзорной)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В.3.1.4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Доля контрольных (надзорных) мероприятий, проведенных без взаимодействия с контролируемыми лицами, от общего количества проведенных контрольных (надзорных) мероприятий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(Д без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вз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 без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без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мер*100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без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вз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общее количество контрольных (надзорных) мероприятий, проведенных без взаимодействия с контролируемыми лицами;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 мер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общее количество проведенных контрольных (надзорных)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</w:t>
            </w: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020b22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В.3.1.8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Количество контрольных (надзорных) мероприятий, по результатам которых выявлены нарушения обязательных требований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В.3.1.18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Общая сумма наложенных по итогам проверок административных штрафов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В.3.1.19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Общая сумма уплаченных (взысканных) административных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штрафов, наложенных по итогам контрольных (надзорных) мероприятий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В.3.1.20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Отношение  суммы взысканных административных штрафов к общей сумме наложенных административных штрафов (% взыск)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взыск= В/Н *100%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– сумма взысканных штрафов, тыс. руб.;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– сумма наложенных штрафов,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63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В.3.1.21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Средний размер наложенного административного штрафа (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Шср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)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Кштр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– сумма наложенных штрафов, тыс. руб.;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административных дел, по результатам которых назначено наказание в виде административного штрафа,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В.3.2.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рофилактические мероприятия: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В.3.2.1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Количество проведенных профилактических мероприятий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pStyle w:val="8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окументы, полученные в результате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контрольной (надзорной)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0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В.3.2.2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  <w:p>
            <w:r/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Количество контролируемых лиц, в отношении которых проведены профилактические мероприятия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pStyle w:val="8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r/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В.3.2.4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Доля контролируемых лиц, в отношении которых проведены профилактические мероприятия (Д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проф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 мер)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9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мер=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 /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*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0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auto" w:themeColor="accent4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про</w:t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  <w:lang w:eastAsia="ru-RU"/>
              </w:rPr>
              <w:t xml:space="preserve">ф</w:t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  <w:lang w:eastAsia="ru-RU"/>
              </w:rPr>
              <w:t xml:space="preserve"> мер </w:t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  <w:lang w:eastAsia="ru-RU"/>
              </w:rPr>
              <w:t xml:space="preserve">–</w:t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 w:themeColor="accent4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auto" w:themeColor="accent4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 отношении которых были </w:t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  <w:lang w:eastAsia="ru-RU"/>
              </w:rPr>
              <w:t xml:space="preserve">проведены профилактические мероприятия </w:t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 w:eastAsiaTheme="minorEastAsia"/>
                <w:color w:val="auto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auto" w:themeColor="accent4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общ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ru-RU"/>
              </w:rPr>
              <w:t xml:space="preserve">общее количество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bidi="ru-RU"/>
              </w:rPr>
              <w:t xml:space="preserve">контролируемых лиц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  <w:lang w:bidi="ru-RU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 w:themeColor="accent4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color w:val="auto" w:themeColor="accent4"/>
                <w:sz w:val="28"/>
                <w:szCs w:val="2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существляющих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строительство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white"/>
              </w:rPr>
              <w:t xml:space="preserve">по договорам строительного подряда с использованием счетов эскроу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textDirection w:val="lrTb"/>
            <w:noWrap w:val="false"/>
          </w:tcPr>
          <w:p>
            <w:pPr>
              <w:pStyle w:val="872"/>
              <w:ind w:right="-13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43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В.4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8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показатели, характеризующие объем задействованных трудовых, материальных и финансовых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r/>
      <w:r/>
    </w:p>
    <w:tbl>
      <w:tblPr>
        <w:tblW w:w="15377" w:type="dxa"/>
        <w:tblInd w:w="-2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485"/>
        <w:gridCol w:w="3469"/>
        <w:gridCol w:w="1417"/>
        <w:gridCol w:w="4045"/>
        <w:gridCol w:w="1842"/>
        <w:gridCol w:w="3119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В.4.1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Объем финансовых средств, выделяемых в отчетном периоде из бюджетов всех уровней на выполнение функций по контролю (надзору), в том числе на фонд оплаты труда, с учетом начислений, 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командировочных расходов, накладных расходов, прочих расходов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ind w:right="-13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документы 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Новосибирской области</w:t>
            </w:r>
            <w:bookmarkStart w:id="3" w:name="_GoBack"/>
            <w:r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В.4.2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  <w:t xml:space="preserve">Количество штатных единиц, всего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ind w:right="-13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В.4.3</w:t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69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 w:eastAsiaTheme="minorEastAsia"/>
                <w:sz w:val="28"/>
                <w:szCs w:val="28"/>
                <w:highlight w:val="white"/>
                <w:lang w:eastAsia="ru-RU"/>
              </w:rPr>
              <w:t xml:space="preserve">Количество штатных единиц, в должностные обязанности которых входит выполнение контрольно-надзорных функций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за соблюдением контролируемыми лицами,  требований к порядку и срокам размещения в информационной системе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white"/>
              </w:rPr>
              <w:t xml:space="preserve"> информации и сведений, предусмотренных частями 2 и 4 статьи 4 Федерального закона № 186-ФЗ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единица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045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2" w:type="dxa"/>
            <w:textDirection w:val="lrTb"/>
            <w:noWrap w:val="false"/>
          </w:tcPr>
          <w:p>
            <w:pPr>
              <w:ind w:right="-137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исполь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зуются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ru-RU"/>
        </w:rPr>
        <w:t xml:space="preserve">______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6838" w:h="11906" w:orient="landscape"/>
      <w:pgMar w:top="851" w:right="1134" w:bottom="567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SimSun">
    <w:panose1 w:val="0200050600000002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8851329"/>
      <w:rPr>
        <w:rFonts w:ascii="Times New Roman" w:hAnsi="Times New Roman" w:cs="Times New Roman"/>
        <w:sz w:val="20"/>
        <w:szCs w:val="20"/>
      </w:rPr>
    </w:sdtPr>
    <w:sdtContent>
      <w:p>
        <w:pPr>
          <w:pStyle w:val="86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15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  <w:p>
    <w:pPr>
      <w:pStyle w:val="867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/>
    </w:lvl>
    <w:lvl w:ilvl="1">
      <w:start w:val="0"/>
      <w:numFmt w:val="bullet"/>
      <w:isLgl w:val="false"/>
      <w:suff w:val="tab"/>
      <w:lvlText w:val="o"/>
      <w:lvlJc w:val="left"/>
      <w:pPr/>
    </w:lvl>
    <w:lvl w:ilvl="2">
      <w:start w:val="0"/>
      <w:numFmt w:val="bullet"/>
      <w:isLgl w:val="false"/>
      <w:suff w:val="tab"/>
      <w:lvlText w:val="§"/>
      <w:lvlJc w:val="left"/>
      <w:pPr/>
    </w:lvl>
    <w:lvl w:ilvl="3">
      <w:start w:val="0"/>
      <w:numFmt w:val="bullet"/>
      <w:isLgl w:val="false"/>
      <w:suff w:val="tab"/>
      <w:lvlText w:val="·"/>
      <w:lvlJc w:val="left"/>
      <w:pPr/>
    </w:lvl>
    <w:lvl w:ilvl="4">
      <w:start w:val="0"/>
      <w:numFmt w:val="bullet"/>
      <w:isLgl w:val="false"/>
      <w:suff w:val="tab"/>
      <w:lvlText w:val="o"/>
      <w:lvlJc w:val="left"/>
      <w:pPr/>
    </w:lvl>
    <w:lvl w:ilvl="5">
      <w:start w:val="0"/>
      <w:numFmt w:val="bullet"/>
      <w:isLgl w:val="false"/>
      <w:suff w:val="tab"/>
      <w:lvlText w:val="§"/>
      <w:lvlJc w:val="left"/>
      <w:pPr/>
    </w:lvl>
    <w:lvl w:ilvl="6">
      <w:start w:val="0"/>
      <w:numFmt w:val="bullet"/>
      <w:isLgl w:val="false"/>
      <w:suff w:val="tab"/>
      <w:lvlText w:val="·"/>
      <w:lvlJc w:val="left"/>
      <w:pPr/>
    </w:lvl>
    <w:lvl w:ilvl="7">
      <w:start w:val="0"/>
      <w:numFmt w:val="bullet"/>
      <w:isLgl w:val="false"/>
      <w:suff w:val="tab"/>
      <w:lvlText w:val="o"/>
      <w:lvlJc w:val="left"/>
      <w:pPr/>
    </w:lvl>
    <w:lvl w:ilvl="8">
      <w:start w:val="0"/>
      <w:numFmt w:val="bullet"/>
      <w:isLgl w:val="false"/>
      <w:suff w:val="tab"/>
      <w:lvlText w:val="§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SimSu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7"/>
    <w:next w:val="857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58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7"/>
    <w:next w:val="857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58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57"/>
    <w:next w:val="857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58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57"/>
    <w:next w:val="857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58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7"/>
    <w:next w:val="857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5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7"/>
    <w:next w:val="857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58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7"/>
    <w:next w:val="85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58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7"/>
    <w:next w:val="857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58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7"/>
    <w:next w:val="857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58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57"/>
    <w:next w:val="857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basedOn w:val="858"/>
    <w:link w:val="703"/>
    <w:uiPriority w:val="10"/>
    <w:rPr>
      <w:sz w:val="48"/>
      <w:szCs w:val="48"/>
    </w:rPr>
  </w:style>
  <w:style w:type="paragraph" w:styleId="705">
    <w:name w:val="Subtitle"/>
    <w:basedOn w:val="857"/>
    <w:next w:val="857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basedOn w:val="858"/>
    <w:link w:val="705"/>
    <w:uiPriority w:val="11"/>
    <w:rPr>
      <w:sz w:val="24"/>
      <w:szCs w:val="24"/>
    </w:rPr>
  </w:style>
  <w:style w:type="paragraph" w:styleId="707">
    <w:name w:val="Quote"/>
    <w:basedOn w:val="857"/>
    <w:next w:val="857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57"/>
    <w:next w:val="857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character" w:styleId="711">
    <w:name w:val="Header Char"/>
    <w:basedOn w:val="858"/>
    <w:link w:val="867"/>
    <w:uiPriority w:val="99"/>
  </w:style>
  <w:style w:type="character" w:styleId="712">
    <w:name w:val="Footer Char"/>
    <w:basedOn w:val="858"/>
    <w:link w:val="868"/>
    <w:uiPriority w:val="99"/>
  </w:style>
  <w:style w:type="paragraph" w:styleId="713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713"/>
    <w:link w:val="868"/>
    <w:uiPriority w:val="99"/>
  </w:style>
  <w:style w:type="table" w:styleId="715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blStylePr w:type="band1Horz">
      <w:tcPr>
        <w:shd w:val="clear" w:color="ffffff" w:themeColor="accent1" w:themeTint="75" w:fill="a9bee4" w:themeFill="accent1" w:themeFillTint="75"/>
      </w:tcPr>
    </w:tblStylePr>
    <w:tblStylePr w:type="band1Vert">
      <w:tcPr>
        <w:shd w:val="clear" w:color="ffffff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blStylePr w:type="band1Horz">
      <w:tcPr>
        <w:shd w:val="clear" w:color="ffffff" w:themeColor="accent2" w:themeTint="75" w:fill="f7c3a0" w:themeFill="accent2" w:themeFillTint="75"/>
      </w:tcPr>
    </w:tblStylePr>
    <w:tblStylePr w:type="band1Vert">
      <w:tcPr>
        <w:shd w:val="clear" w:color="ffffff" w:themeColor="accent2" w:themeTint="75" w:fill="f7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blStylePr w:type="band1Horz">
      <w:tcPr>
        <w:shd w:val="clear" w:color="ffffff" w:themeColor="accent4" w:themeTint="75" w:fill="ffe28a" w:themeFill="accent4" w:themeFillTint="75"/>
      </w:tcPr>
    </w:tblStylePr>
    <w:tblStylePr w:type="band1Vert">
      <w:tcPr>
        <w:shd w:val="clear" w:color="ffffff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blStylePr w:type="band1Horz">
      <w:tcPr>
        <w:shd w:val="clear" w:color="ffffff" w:themeColor="accent5" w:themeTint="75" w:fill="b4d1ec" w:themeFill="accent5" w:themeFillTint="75"/>
      </w:tcPr>
    </w:tblStylePr>
    <w:tblStylePr w:type="band1Vert">
      <w:tcPr>
        <w:shd w:val="clear" w:color="ffffff" w:themeColor="accent5" w:themeTint="75" w:fill="b4d1ec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blStylePr w:type="band1Horz">
      <w:tcPr>
        <w:shd w:val="clear" w:color="ffffff" w:themeColor="accent6" w:themeTint="75" w:fill="bddba8" w:themeFill="accent6" w:themeFillTint="75"/>
      </w:tcPr>
    </w:tblStylePr>
    <w:tblStylePr w:type="band1Vert">
      <w:tcPr>
        <w:shd w:val="clear" w:color="ffffff" w:themeColor="accent6" w:themeTint="75" w:fill="bd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3" w:themeFill="accent1" w:themeFillTint="34"/>
      </w:tcPr>
    </w:tblStylePr>
    <w:tblStylePr w:type="band1Vert">
      <w:tcPr>
        <w:shd w:val="clear" w:color="ffffff" w:themeColor="accent1" w:themeTint="34" w:fill="d9e2f3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760ab" w:themeColor="accent1" w:themeTint="80" w:themeShade="95"/>
      </w:rPr>
    </w:tblStylePr>
    <w:tblStylePr w:type="firstRow">
      <w:rPr>
        <w:b/>
        <w:color w:val="3760ab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</w:tblStylePr>
    <w:tblStylePr w:type="lastRow">
      <w:rPr>
        <w:b/>
        <w:color w:val="3760a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tcPr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a5d12" w:themeColor="accent2" w:themeTint="97" w:themeShade="95"/>
      </w:rPr>
    </w:tblStylePr>
    <w:tblStylePr w:type="firstRow">
      <w:rPr>
        <w:b/>
        <w:color w:val="ca5d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</w:tblStylePr>
    <w:tblStylePr w:type="lastRow">
      <w:rPr>
        <w:b/>
        <w:color w:val="ca5d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tcPr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d09d00" w:themeColor="accent4" w:themeTint="9A" w:themeShade="95"/>
      </w:rPr>
    </w:tblStylePr>
    <w:tblStylePr w:type="firstRow">
      <w:rPr>
        <w:b/>
        <w:color w:val="d09d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</w:tblStylePr>
    <w:tblStylePr w:type="lastRow">
      <w:rPr>
        <w:b/>
        <w:color w:val="d09d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eebf6" w:themeFill="accent5" w:themeFillTint="34"/>
      </w:tcPr>
    </w:tblStylePr>
    <w:tblStylePr w:type="band1Vert">
      <w:tcPr>
        <w:shd w:val="clear" w:color="ffffff" w:themeColor="accent5" w:themeTint="34" w:fill="de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b8d" w:themeColor="accent5" w:themeShade="95"/>
      </w:rPr>
    </w:tblStylePr>
    <w:tblStylePr w:type="firstRow">
      <w:rPr>
        <w:b/>
        <w:color w:val="245b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</w:tblStylePr>
    <w:tblStylePr w:type="lastRow">
      <w:rPr>
        <w:b/>
        <w:color w:val="245b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tcPr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b8d" w:themeColor="accent5" w:themeShade="95"/>
      </w:rPr>
    </w:tblStylePr>
    <w:tblStylePr w:type="firstRow">
      <w:rPr>
        <w:b/>
        <w:color w:val="245b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</w:tblStylePr>
    <w:tblStylePr w:type="lastRow">
      <w:rPr>
        <w:b/>
        <w:color w:val="245b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760ab" w:themeColor="accent1" w:themeTint="80" w:themeShade="95"/>
        <w:sz w:val="22"/>
      </w:rPr>
      <w:tcPr>
        <w:shd w:val="clear" w:color="ffffff" w:themeColor="accent1" w:themeTint="34" w:fill="d9e2f3" w:themeFill="accent1" w:themeFillTint="34"/>
      </w:tcPr>
    </w:tblStylePr>
    <w:tblStylePr w:type="band1Vert">
      <w:tcPr>
        <w:shd w:val="clear" w:color="ffffff" w:themeColor="accent1" w:themeTint="34" w:fill="d9e2f3" w:themeFill="accent1" w:themeFillTint="34"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a5d12" w:themeColor="accent2" w:themeTint="97" w:themeShade="95"/>
        <w:sz w:val="22"/>
      </w:rPr>
      <w:tcPr>
        <w:shd w:val="clear" w:color="ffffff" w:themeColor="accent2" w:themeTint="32" w:fill="fbe6d7" w:themeFill="accent2" w:themeFillTint="32"/>
      </w:tcPr>
    </w:tblStylePr>
    <w:tblStylePr w:type="band1Vert">
      <w:tcPr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d09d00" w:themeColor="accent4" w:themeTint="9A" w:themeShade="95"/>
        <w:sz w:val="22"/>
      </w:rPr>
      <w:tcPr>
        <w:shd w:val="clear" w:color="ffffff" w:themeColor="accent4" w:themeTint="34" w:fill="fff2cb" w:themeFill="accent4" w:themeFillTint="34"/>
      </w:tcPr>
    </w:tblStylePr>
    <w:tblStylePr w:type="band1Vert">
      <w:tcPr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b8d" w:themeColor="accent5" w:themeShade="95"/>
        <w:sz w:val="22"/>
      </w:rPr>
      <w:tcPr>
        <w:shd w:val="clear" w:color="ffffff" w:themeColor="accent5" w:themeTint="34" w:fill="deebf6" w:themeFill="accent5" w:themeFillTint="34"/>
      </w:tcPr>
    </w:tblStylePr>
    <w:tblStylePr w:type="band1Vert">
      <w:tcPr>
        <w:shd w:val="clear" w:color="ffffff" w:themeColor="accent5" w:themeTint="34" w:fill="deebf6" w:themeFill="accent5" w:themeFillTint="34"/>
      </w:tcPr>
    </w:tblStylePr>
    <w:tblStylePr w:type="band2Horz">
      <w:rPr>
        <w:rFonts w:ascii="Arial" w:hAnsi="Arial"/>
        <w:color w:val="245b8d" w:themeColor="accent5" w:themeShade="95"/>
        <w:sz w:val="22"/>
      </w:r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16529" w:themeColor="accent6" w:themeShade="95"/>
        <w:sz w:val="22"/>
      </w:rPr>
      <w:tcPr>
        <w:shd w:val="clear" w:color="ffffff" w:themeColor="accent6" w:themeTint="34" w:fill="e2efd9" w:themeFill="accent6" w:themeFillTint="34"/>
      </w:tcPr>
    </w:tblStylePr>
    <w:tblStylePr w:type="band1Vert">
      <w:tcPr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0dcf0" w:themeFill="accent1" w:themeFillTint="40"/>
      </w:tcPr>
    </w:tblStylePr>
    <w:tblStylePr w:type="band1Vert">
      <w:tcPr>
        <w:shd w:val="clear" w:color="ffffff" w:themeColor="accent1" w:themeTint="40" w:fill="d0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6e6f4" w:themeFill="accent5" w:themeFillTint="40"/>
      </w:tcPr>
    </w:tblStylePr>
    <w:tblStylePr w:type="band1Vert">
      <w:tcPr>
        <w:shd w:val="clear" w:color="ffffff" w:themeColor="accent5" w:themeTint="40" w:fill="d6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cd0" w:themeFill="accent6" w:themeFillTint="40"/>
      </w:tcPr>
    </w:tblStylePr>
    <w:tblStylePr w:type="band1Vert">
      <w:tcPr>
        <w:shd w:val="clear" w:color="ffffff" w:themeColor="accent6" w:themeTint="40" w:fill="dbec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0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0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6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6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2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9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3e6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9d1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0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0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6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6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c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blStylePr w:type="band1Horz"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blStylePr w:type="band1Horz"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blStylePr w:type="band1Horz"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blStylePr w:type="band1Horz"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0dcf0" w:themeFill="accent1" w:themeFillTint="40"/>
      </w:tcPr>
    </w:tblStylePr>
    <w:tblStylePr w:type="band1Vert">
      <w:tcPr>
        <w:shd w:val="clear" w:color="ffffff" w:themeColor="accent1" w:themeTint="40" w:fill="d0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275" w:themeColor="accent1" w:themeShade="95"/>
      </w:rPr>
    </w:tblStylePr>
    <w:tblStylePr w:type="firstRow">
      <w:rPr>
        <w:b/>
        <w:color w:val="254275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</w:tblStylePr>
    <w:tblStylePr w:type="lastRow">
      <w:rPr>
        <w:b/>
        <w:color w:val="254275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a5d12" w:themeColor="accent2" w:themeTint="97" w:themeShade="95"/>
      </w:rPr>
    </w:tblStylePr>
    <w:tblStylePr w:type="firstRow">
      <w:rPr>
        <w:b/>
        <w:color w:val="ca5d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</w:tblStylePr>
    <w:tblStylePr w:type="lastRow">
      <w:rPr>
        <w:b/>
        <w:color w:val="ca5d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d09d00" w:themeColor="accent4" w:themeTint="9A" w:themeShade="95"/>
      </w:rPr>
    </w:tblStylePr>
    <w:tblStylePr w:type="firstRow">
      <w:rPr>
        <w:b/>
        <w:color w:val="d09d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</w:tblStylePr>
    <w:tblStylePr w:type="lastRow">
      <w:rPr>
        <w:b/>
        <w:color w:val="d09d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6e6f4" w:themeFill="accent5" w:themeFillTint="40"/>
      </w:tcPr>
    </w:tblStylePr>
    <w:tblStylePr w:type="band1Vert">
      <w:tcPr>
        <w:shd w:val="clear" w:color="ffffff" w:themeColor="accent5" w:themeTint="40" w:fill="d6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d74b4" w:themeColor="accent5" w:themeTint="9A" w:themeShade="95"/>
      </w:rPr>
    </w:tblStylePr>
    <w:tblStylePr w:type="firstRow">
      <w:rPr>
        <w:b/>
        <w:color w:val="2d74b4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</w:tblStylePr>
    <w:tblStylePr w:type="lastRow">
      <w:rPr>
        <w:b/>
        <w:color w:val="2d74b4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tcPr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e923c" w:themeColor="accent6" w:themeTint="98" w:themeShade="95"/>
      </w:rPr>
    </w:tblStylePr>
    <w:tblStylePr w:type="firstRow">
      <w:rPr>
        <w:b/>
        <w:color w:val="5e92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</w:tblStylePr>
    <w:tblStylePr w:type="lastRow">
      <w:rPr>
        <w:b/>
        <w:color w:val="5e92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275" w:themeColor="accent1" w:themeShade="95"/>
        <w:sz w:val="22"/>
      </w:rPr>
      <w:tcPr>
        <w:shd w:val="clear" w:color="ffffff" w:themeColor="accent1" w:themeTint="40" w:fill="d0dcf0" w:themeFill="accent1" w:themeFillTint="40"/>
      </w:tcPr>
    </w:tblStylePr>
    <w:tblStylePr w:type="band1Vert">
      <w:tcPr>
        <w:shd w:val="clear" w:color="ffffff" w:themeColor="accent1" w:themeTint="40" w:fill="d0dcf0" w:themeFill="accent1" w:themeFillTint="40"/>
      </w:tcPr>
    </w:tblStylePr>
    <w:tblStylePr w:type="band2Horz">
      <w:rPr>
        <w:rFonts w:ascii="Arial" w:hAnsi="Arial"/>
        <w:color w:val="254275" w:themeColor="accent1" w:themeShade="95"/>
        <w:sz w:val="22"/>
      </w:r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275" w:themeColor="accent1" w:themeShade="95"/>
        <w:sz w:val="22"/>
      </w:rPr>
    </w:tblStylePr>
  </w:style>
  <w:style w:type="table" w:styleId="814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a5d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</w:tblStylePr>
  </w:style>
  <w:style w:type="table" w:styleId="815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6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d09d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</w:tblStylePr>
  </w:style>
  <w:style w:type="table" w:styleId="817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d74b4" w:themeColor="accent5" w:themeTint="9A" w:themeShade="95"/>
        <w:sz w:val="22"/>
      </w:rPr>
      <w:tcPr>
        <w:shd w:val="clear" w:color="ffffff" w:themeColor="accent5" w:themeTint="40" w:fill="d6e6f4" w:themeFill="accent5" w:themeFillTint="40"/>
      </w:tcPr>
    </w:tblStylePr>
    <w:tblStylePr w:type="band1Vert">
      <w:tcPr>
        <w:shd w:val="clear" w:color="ffffff" w:themeColor="accent5" w:themeTint="40" w:fill="d6e6f4" w:themeFill="accent5" w:themeFillTint="40"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</w:tblStylePr>
  </w:style>
  <w:style w:type="table" w:styleId="818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e923c" w:themeColor="accent6" w:themeTint="98" w:themeShade="95"/>
        <w:sz w:val="22"/>
      </w:rPr>
      <w:tcPr>
        <w:shd w:val="clear" w:color="ffffff" w:themeColor="accent6" w:themeTint="40" w:fill="dbecd0" w:themeFill="accent6" w:themeFillTint="40"/>
      </w:tcPr>
    </w:tblStylePr>
    <w:tblStylePr w:type="band1Vert">
      <w:tcPr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</w:tblStylePr>
  </w:style>
  <w:style w:type="table" w:styleId="819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4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4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</w:style>
  <w:style w:type="table" w:styleId="821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</w:style>
  <w:style w:type="table" w:styleId="822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3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</w:style>
  <w:style w:type="table" w:styleId="824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5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6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4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4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ec9" w:themeFill="accent1" w:themeFillTint="EA"/>
      </w:tcPr>
    </w:tblStylePr>
  </w:style>
  <w:style w:type="table" w:styleId="828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285" w:themeFill="accent2" w:themeFillTint="97"/>
      </w:tcPr>
    </w:tblStylePr>
  </w:style>
  <w:style w:type="table" w:styleId="829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0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965" w:themeFill="accent4" w:themeFillTint="9A"/>
      </w:tcPr>
    </w:tblStylePr>
  </w:style>
  <w:style w:type="table" w:styleId="831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2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3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basedOn w:val="858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basedOn w:val="858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>
    <w:name w:val="annotation reference"/>
    <w:basedOn w:val="858"/>
    <w:uiPriority w:val="99"/>
    <w:semiHidden/>
    <w:unhideWhenUsed/>
    <w:rPr>
      <w:sz w:val="16"/>
      <w:szCs w:val="16"/>
    </w:rPr>
  </w:style>
  <w:style w:type="character" w:styleId="862">
    <w:name w:val="Hyperlink"/>
    <w:uiPriority w:val="99"/>
    <w:unhideWhenUsed/>
    <w:qFormat/>
    <w:rPr>
      <w:color w:val="0563c1"/>
      <w:u w:val="single"/>
    </w:rPr>
  </w:style>
  <w:style w:type="character" w:styleId="863">
    <w:name w:val="Strong"/>
    <w:basedOn w:val="858"/>
    <w:uiPriority w:val="22"/>
    <w:qFormat/>
    <w:rPr>
      <w:b/>
      <w:bCs/>
    </w:rPr>
  </w:style>
  <w:style w:type="paragraph" w:styleId="864">
    <w:name w:val="Balloon Text"/>
    <w:basedOn w:val="857"/>
    <w:link w:val="87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65">
    <w:name w:val="annotation text"/>
    <w:basedOn w:val="857"/>
    <w:link w:val="878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866">
    <w:name w:val="annotation subject"/>
    <w:basedOn w:val="865"/>
    <w:next w:val="865"/>
    <w:link w:val="879"/>
    <w:uiPriority w:val="99"/>
    <w:semiHidden/>
    <w:unhideWhenUsed/>
    <w:rPr>
      <w:b/>
      <w:bCs/>
    </w:rPr>
  </w:style>
  <w:style w:type="paragraph" w:styleId="867">
    <w:name w:val="Header"/>
    <w:basedOn w:val="857"/>
    <w:link w:val="873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8">
    <w:name w:val="Footer"/>
    <w:basedOn w:val="857"/>
    <w:link w:val="874"/>
    <w:uiPriority w:val="99"/>
    <w:unhideWhenUsed/>
    <w:qFormat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869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870">
    <w:name w:val="Table Grid"/>
    <w:basedOn w:val="859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1">
    <w:name w:val="List Paragraph"/>
    <w:basedOn w:val="857"/>
    <w:uiPriority w:val="34"/>
    <w:qFormat/>
    <w:pPr>
      <w:contextualSpacing/>
      <w:ind w:left="720"/>
    </w:pPr>
  </w:style>
  <w:style w:type="paragraph" w:styleId="872" w:customStyle="1">
    <w:name w:val="ConsPlusNormal"/>
    <w:qFormat/>
    <w:pPr>
      <w:widowControl w:val="off"/>
    </w:pPr>
    <w:rPr>
      <w:rFonts w:ascii="Calibri" w:hAnsi="Calibri" w:eastAsia="Times New Roman" w:cs="Calibri"/>
      <w:sz w:val="22"/>
    </w:rPr>
  </w:style>
  <w:style w:type="character" w:styleId="873" w:customStyle="1">
    <w:name w:val="Верхний колонтитул Знак"/>
    <w:basedOn w:val="858"/>
    <w:link w:val="867"/>
    <w:uiPriority w:val="99"/>
    <w:qFormat/>
  </w:style>
  <w:style w:type="character" w:styleId="874" w:customStyle="1">
    <w:name w:val="Нижний колонтитул Знак"/>
    <w:basedOn w:val="858"/>
    <w:link w:val="868"/>
    <w:uiPriority w:val="99"/>
    <w:qFormat/>
  </w:style>
  <w:style w:type="table" w:styleId="875" w:customStyle="1">
    <w:name w:val="Сетка таблицы1"/>
    <w:basedOn w:val="859"/>
    <w:uiPriority w:val="99"/>
    <w:qFormat/>
    <w:rPr>
      <w:rFonts w:eastAsia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6" w:customStyle="1">
    <w:name w:val="Текст выноски Знак"/>
    <w:basedOn w:val="858"/>
    <w:link w:val="864"/>
    <w:uiPriority w:val="99"/>
    <w:semiHidden/>
    <w:qFormat/>
    <w:rPr>
      <w:rFonts w:ascii="Tahoma" w:hAnsi="Tahoma" w:cs="Tahoma"/>
      <w:sz w:val="16"/>
      <w:szCs w:val="16"/>
    </w:rPr>
  </w:style>
  <w:style w:type="paragraph" w:styleId="877" w:customStyle="1">
    <w:name w:val="ConsPlusTitle"/>
    <w:qFormat/>
    <w:pPr>
      <w:widowControl w:val="off"/>
    </w:pPr>
    <w:rPr>
      <w:rFonts w:ascii="Calibri" w:hAnsi="Calibri" w:eastAsia="Times New Roman" w:cs="Calibri"/>
      <w:b/>
      <w:sz w:val="22"/>
    </w:rPr>
  </w:style>
  <w:style w:type="character" w:styleId="878" w:customStyle="1">
    <w:name w:val="Текст примечания Знак"/>
    <w:basedOn w:val="858"/>
    <w:link w:val="865"/>
    <w:uiPriority w:val="99"/>
    <w:semiHidden/>
    <w:qFormat/>
    <w:rPr>
      <w:sz w:val="20"/>
      <w:szCs w:val="20"/>
    </w:rPr>
  </w:style>
  <w:style w:type="character" w:styleId="879" w:customStyle="1">
    <w:name w:val="Тема примечания Знак"/>
    <w:basedOn w:val="878"/>
    <w:link w:val="866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30346F69-EF08-45AE-B415-1B97DA9FE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Пальчик Андрей Владимирович</dc:creator>
  <cp:revision>9</cp:revision>
  <dcterms:created xsi:type="dcterms:W3CDTF">2024-06-13T03:57:00Z</dcterms:created>
  <dcterms:modified xsi:type="dcterms:W3CDTF">2025-04-30T07:16:02Z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468E3F7973D747DFB1FA3B3474E10C42</vt:lpwstr>
  </property>
</Properties>
</file>