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предоставления субсидии из областного бюджета Новосибирской области акционерному обществу «Агентство развития </w:t>
      </w:r>
      <w:r>
        <w:rPr>
          <w:sz w:val="28"/>
          <w:szCs w:val="28"/>
        </w:rPr>
        <w:t xml:space="preserve">жилищного строительства Новосибирской области» на осуществление вклада в имущество, не увеличивающего его уставный капитал</w: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 Бюджетного кодекса Российской Федерации </w:t>
      </w:r>
      <w:r>
        <w:rPr>
          <w:sz w:val="28"/>
          <w:szCs w:val="28"/>
        </w:rPr>
        <w:t xml:space="preserve">Правительство Новосибирской области,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</w:t>
      </w:r>
      <w:r>
        <w:rPr>
          <w:sz w:val="28"/>
          <w:szCs w:val="28"/>
        </w:rPr>
        <w:t xml:space="preserve">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sz w:val="28"/>
          <w:szCs w:val="28"/>
        </w:rPr>
        <w:t xml:space="preserve">Законом Новосибирской области от 20.12.2024 № 546-ОЗ «Об областном бюджете Новосибирской области на 2025 год и плановый период 2026 и 2027 годов»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1. Утвердить прилагаемый Порядок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 из областного бюджета Новосибирской области акционерному обществу «Агентство развития </w:t>
      </w:r>
      <w:r>
        <w:rPr>
          <w:sz w:val="28"/>
          <w:szCs w:val="28"/>
        </w:rPr>
        <w:t xml:space="preserve">жилищного строительства Новосибирской области» на осуществление вклада в имущество, не увеличивающего его уставный капитал</w:t>
      </w:r>
      <w:r>
        <w:rPr>
          <w:i w:val="0"/>
          <w:iCs w:val="0"/>
          <w:sz w:val="28"/>
          <w:szCs w:val="28"/>
        </w:rPr>
        <w:t xml:space="preserve">.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ind w:firstLine="709"/>
        <w:jc w:val="both"/>
        <w:rPr>
          <w:bCs w:val="0"/>
          <w:i w:val="0"/>
          <w:sz w:val="28"/>
          <w:szCs w:val="28"/>
        </w:rPr>
      </w:pPr>
      <w:r>
        <w:rPr>
          <w:i w:val="0"/>
          <w:iCs w:val="0"/>
          <w:sz w:val="28"/>
          <w:szCs w:val="28"/>
          <w:highlight w:val="none"/>
        </w:rPr>
        <w:t xml:space="preserve">2. </w:t>
      </w:r>
      <w:r>
        <w:rPr>
          <w:i w:val="0"/>
          <w:iCs w:val="0"/>
          <w:sz w:val="28"/>
          <w:szCs w:val="28"/>
          <w:highlight w:val="none"/>
        </w:rPr>
        <w:t xml:space="preserve">Контроль за исполнением постановления возложить на первого заместителя Председателя Правительства Новосибирской области Знаткова В.М.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</w:t>
      </w:r>
      <w:bookmarkStart w:id="0" w:name="_GoBack"/>
      <w:r>
        <w:rPr>
          <w:sz w:val="28"/>
          <w:szCs w:val="28"/>
        </w:rPr>
        <w:t xml:space="preserve">А.А.Травников</w:t>
      </w:r>
      <w:bookmarkEnd w:id="0"/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Д.Н. Богомолов</w:t>
      </w:r>
      <w:r/>
    </w:p>
    <w:p>
      <w:pPr>
        <w:jc w:val="both"/>
        <w:rPr>
          <w:highlight w:val="none"/>
        </w:rPr>
      </w:pPr>
      <w:r>
        <w:t xml:space="preserve">228 64 47 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 О Г Л А С О В А Н 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10"/>
        <w:gridCol w:w="1984"/>
        <w:gridCol w:w="2944"/>
      </w:tblGrid>
      <w:tr>
        <w:tblPrEx/>
        <w:trPr/>
        <w:tc>
          <w:tcPr>
            <w:shd w:val="clear" w:color="ffffff" w:fill="ffffff"/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29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В.М.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________2025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Губернатора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29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Р.А.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Теленчинов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________2025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Председателя Правительства Новосибирской области - министр финансов и налоговой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29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«____» ________2025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29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Т.Н. 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«____» ________2025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52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shd w:val="clear" w:color="ffffff" w:fill="ffffff"/>
            <w:tcW w:w="294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Решетников Л. 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____» ________2025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52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Министр образования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shd w:val="clear" w:color="ffffff" w:fill="ffffff"/>
            <w:tcW w:w="294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Жафярова М.Н.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____» ________2025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Министр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29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Д.Н. Богомолов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________2025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29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Р.Г. Вольтер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________2025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highlight w:val="none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13</cp:revision>
  <dcterms:created xsi:type="dcterms:W3CDTF">2016-01-25T05:11:00Z</dcterms:created>
  <dcterms:modified xsi:type="dcterms:W3CDTF">2025-04-11T07:44:13Z</dcterms:modified>
</cp:coreProperties>
</file>