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62"/>
        <w:ind w:firstLine="6237"/>
        <w:jc w:val="center"/>
        <w:rPr>
          <w:rFonts w:ascii="Times New Roman" w:hAnsi="Times New Roman" w:cs="Times New Roman"/>
          <w:sz w:val="28"/>
          <w:szCs w:val="28"/>
        </w:rPr>
        <w:outlineLvl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62"/>
        <w:ind w:firstLine="6237"/>
        <w:jc w:val="center"/>
        <w:rPr>
          <w:rFonts w:ascii="Times New Roman" w:hAnsi="Times New Roman" w:cs="Times New Roman"/>
          <w:sz w:val="28"/>
          <w:szCs w:val="28"/>
        </w:rPr>
        <w:outlineLvl w:val="0"/>
      </w:pPr>
      <w:r>
        <w:rPr>
          <w:rFonts w:ascii="Times New Roman" w:hAnsi="Times New Roman" w:cs="Times New Roman"/>
          <w:sz w:val="28"/>
          <w:szCs w:val="28"/>
        </w:rPr>
        <w:t xml:space="preserve">Проект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62"/>
        <w:ind w:firstLine="623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постановления Правительства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62"/>
        <w:ind w:firstLine="623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57"/>
        <w:jc w:val="both"/>
        <w:tabs>
          <w:tab w:val="left" w:pos="938" w:leader="none"/>
        </w:tabs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</w:r>
      <w:r>
        <w:rPr>
          <w:spacing w:val="-4"/>
          <w:sz w:val="28"/>
          <w:szCs w:val="28"/>
        </w:rPr>
      </w:r>
      <w:r>
        <w:rPr>
          <w:spacing w:val="-4"/>
          <w:sz w:val="28"/>
          <w:szCs w:val="28"/>
        </w:rPr>
      </w:r>
    </w:p>
    <w:p>
      <w:pPr>
        <w:pStyle w:val="857"/>
        <w:jc w:val="both"/>
        <w:tabs>
          <w:tab w:val="left" w:pos="938" w:leader="none"/>
        </w:tabs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</w:r>
      <w:r>
        <w:rPr>
          <w:spacing w:val="-4"/>
          <w:sz w:val="28"/>
          <w:szCs w:val="28"/>
        </w:rPr>
      </w:r>
      <w:r>
        <w:rPr>
          <w:spacing w:val="-4"/>
          <w:sz w:val="28"/>
          <w:szCs w:val="28"/>
        </w:rPr>
      </w:r>
    </w:p>
    <w:p>
      <w:pPr>
        <w:pStyle w:val="85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некоторые акты Правительства Новосибирской области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57"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57"/>
        <w:rPr>
          <w:spacing w:val="-4"/>
          <w:sz w:val="26"/>
          <w:szCs w:val="26"/>
        </w:rPr>
      </w:pPr>
      <w:r>
        <w:rPr>
          <w:spacing w:val="-4"/>
          <w:sz w:val="26"/>
          <w:szCs w:val="26"/>
        </w:rPr>
      </w:r>
      <w:r>
        <w:rPr>
          <w:spacing w:val="-4"/>
          <w:sz w:val="26"/>
          <w:szCs w:val="26"/>
        </w:rPr>
      </w:r>
      <w:r>
        <w:rPr>
          <w:spacing w:val="-4"/>
          <w:sz w:val="26"/>
          <w:szCs w:val="26"/>
        </w:rPr>
      </w:r>
    </w:p>
    <w:p>
      <w:pPr>
        <w:ind w:left="0" w:right="0" w:firstLine="540"/>
        <w:jc w:val="both"/>
        <w:spacing w:before="0" w:after="0" w:line="288" w:lineRule="atLeast"/>
        <w:rPr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  <w:t xml:space="preserve">В целях приведение в соответствие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  <w:t xml:space="preserve">  с 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постановлением Правительства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Российской Федерации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от 24 сентября 2024 г. № 1300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sz w:val="28"/>
          <w:szCs w:val="28"/>
        </w:rPr>
      </w:r>
    </w:p>
    <w:p>
      <w:pPr>
        <w:pStyle w:val="862"/>
        <w:ind w:firstLine="709"/>
        <w:jc w:val="both"/>
        <w:rPr>
          <w:rFonts w:ascii="Times New Roman" w:hAnsi="Times New Roman" w:eastAsia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  <w:t xml:space="preserve"> </w:t>
      </w:r>
      <w:r>
        <w:rPr>
          <w:sz w:val="28"/>
          <w:szCs w:val="28"/>
        </w:rPr>
      </w:r>
      <w:r>
        <w:rPr>
          <w:rFonts w:ascii="Times New Roman" w:hAnsi="Times New Roman" w:eastAsia="Times New Roman" w:cs="Times New Roman"/>
          <w:b/>
          <w:bCs/>
          <w:color w:val="000000" w:themeColor="text1"/>
          <w:sz w:val="28"/>
          <w:szCs w:val="28"/>
        </w:rPr>
      </w:r>
    </w:p>
    <w:p>
      <w:pPr>
        <w:pStyle w:val="862"/>
        <w:ind w:firstLine="709"/>
        <w:jc w:val="both"/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b/>
          <w:color w:val="000000" w:themeColor="text1"/>
          <w:sz w:val="28"/>
          <w:szCs w:val="28"/>
        </w:rPr>
        <w:t xml:space="preserve">Правительство Новосибирской области п о с т а н о в л я е т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  <w:t xml:space="preserve">:</w:t>
      </w:r>
      <w:r>
        <w:rPr>
          <w:sz w:val="28"/>
          <w:szCs w:val="28"/>
        </w:rPr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none"/>
        </w:rPr>
      </w:r>
    </w:p>
    <w:p>
      <w:pPr>
        <w:ind w:left="0" w:right="0" w:firstLine="540"/>
        <w:jc w:val="both"/>
        <w:spacing w:before="0" w:after="0" w:line="288" w:lineRule="atLeast"/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</w:r>
    </w:p>
    <w:p>
      <w:pPr>
        <w:ind w:left="0" w:right="0" w:firstLine="540"/>
        <w:jc w:val="both"/>
        <w:spacing w:before="0" w:after="0" w:line="288" w:lineRule="atLeast"/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  <w:t xml:space="preserve">Утвердить прилагаемые </w:t>
      </w:r>
      <w:hyperlink r:id="rId10" w:tooltip="http://10.12.1.46/cons/cgi/online.cgi?req=doc&amp;base=LAW&amp;n=486522&amp;dst=100008&amp;field=134&amp;date=03.03.2025" w:history="1">
        <w:r>
          <w:rPr>
            <w:rStyle w:val="863"/>
            <w:rFonts w:ascii="Times New Roman" w:hAnsi="Times New Roman" w:eastAsia="Times New Roman" w:cs="Times New Roman"/>
            <w:color w:val="000000" w:themeColor="text1"/>
            <w:sz w:val="28"/>
            <w:szCs w:val="28"/>
            <w:u w:val="none"/>
          </w:rPr>
          <w:t xml:space="preserve">изменения</w:t>
        </w:r>
      </w:hyperlink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  <w:t xml:space="preserve">, которые вносятся в акты Правительства Новосибирской области. </w:t>
      </w:r>
      <w:r>
        <w:rPr>
          <w:color w:val="000000" w:themeColor="text1"/>
          <w:sz w:val="28"/>
          <w:szCs w:val="28"/>
        </w:rPr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none"/>
        </w:rPr>
      </w:r>
    </w:p>
    <w:p>
      <w:pPr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  <w:highlight w:val="none"/>
        </w:rPr>
      </w:r>
      <w:r>
        <w:rPr>
          <w:rFonts w:eastAsia="Arial Unicode MS"/>
          <w:sz w:val="28"/>
          <w:szCs w:val="28"/>
          <w:highlight w:val="none"/>
        </w:rPr>
      </w:r>
      <w:r>
        <w:rPr>
          <w:rFonts w:eastAsia="Arial Unicode MS"/>
          <w:sz w:val="28"/>
          <w:szCs w:val="28"/>
        </w:rPr>
      </w:r>
    </w:p>
    <w:p>
      <w:pPr>
        <w:rPr>
          <w:rFonts w:eastAsia="Arial Unicode MS"/>
          <w:sz w:val="28"/>
          <w:szCs w:val="28"/>
          <w:highlight w:val="none"/>
        </w:rPr>
      </w:pPr>
      <w:r>
        <w:rPr>
          <w:rFonts w:eastAsia="Arial Unicode MS"/>
          <w:sz w:val="28"/>
          <w:szCs w:val="28"/>
          <w:highlight w:val="none"/>
        </w:rPr>
      </w:r>
      <w:r>
        <w:rPr>
          <w:rFonts w:eastAsia="Arial Unicode MS"/>
          <w:sz w:val="28"/>
          <w:szCs w:val="28"/>
          <w:highlight w:val="none"/>
        </w:rPr>
      </w:r>
      <w:r>
        <w:rPr>
          <w:rFonts w:eastAsia="Arial Unicode MS"/>
          <w:sz w:val="28"/>
          <w:szCs w:val="28"/>
          <w:highlight w:val="none"/>
        </w:rPr>
      </w:r>
    </w:p>
    <w:p>
      <w:pPr>
        <w:rPr>
          <w:rFonts w:eastAsia="Arial Unicode MS"/>
          <w:sz w:val="28"/>
          <w:szCs w:val="28"/>
          <w:highlight w:val="none"/>
        </w:rPr>
      </w:pPr>
      <w:r>
        <w:rPr>
          <w:rFonts w:eastAsia="Arial Unicode MS"/>
          <w:sz w:val="28"/>
          <w:szCs w:val="28"/>
          <w:highlight w:val="none"/>
        </w:rPr>
      </w:r>
      <w:r>
        <w:rPr>
          <w:rFonts w:eastAsia="Arial Unicode MS"/>
          <w:sz w:val="28"/>
          <w:szCs w:val="28"/>
          <w:highlight w:val="none"/>
        </w:rPr>
      </w:r>
      <w:r>
        <w:rPr>
          <w:rFonts w:eastAsia="Arial Unicode MS"/>
          <w:sz w:val="28"/>
          <w:szCs w:val="28"/>
          <w:highlight w:val="none"/>
        </w:rPr>
      </w:r>
    </w:p>
    <w:p>
      <w:pPr>
        <w:rPr>
          <w:rFonts w:eastAsia="Arial Unicode MS"/>
          <w:sz w:val="28"/>
          <w:szCs w:val="28"/>
          <w:highlight w:val="none"/>
        </w:rPr>
      </w:pPr>
      <w:r>
        <w:rPr>
          <w:rFonts w:eastAsia="Arial Unicode MS"/>
          <w:sz w:val="28"/>
          <w:szCs w:val="28"/>
          <w:highlight w:val="none"/>
        </w:rPr>
      </w:r>
      <w:r>
        <w:rPr>
          <w:rFonts w:eastAsia="Arial Unicode MS"/>
          <w:sz w:val="28"/>
          <w:szCs w:val="28"/>
          <w:highlight w:val="none"/>
        </w:rPr>
      </w:r>
      <w:r>
        <w:rPr>
          <w:rFonts w:eastAsia="Arial Unicode MS"/>
          <w:sz w:val="28"/>
          <w:szCs w:val="28"/>
          <w:highlight w:val="none"/>
        </w:rPr>
      </w:r>
    </w:p>
    <w:p>
      <w:pPr>
        <w:rPr>
          <w:rFonts w:eastAsia="Arial Unicode MS"/>
          <w:sz w:val="28"/>
          <w:szCs w:val="28"/>
          <w:highlight w:val="none"/>
        </w:rPr>
      </w:pPr>
      <w:r>
        <w:rPr>
          <w:rFonts w:eastAsia="Arial Unicode MS"/>
          <w:sz w:val="28"/>
          <w:szCs w:val="28"/>
          <w:highlight w:val="none"/>
        </w:rPr>
      </w:r>
      <w:r>
        <w:rPr>
          <w:rFonts w:eastAsia="Arial Unicode MS"/>
          <w:sz w:val="28"/>
          <w:szCs w:val="28"/>
          <w:highlight w:val="none"/>
        </w:rPr>
      </w:r>
      <w:r>
        <w:rPr>
          <w:rFonts w:eastAsia="Arial Unicode MS"/>
          <w:sz w:val="28"/>
          <w:szCs w:val="28"/>
          <w:highlight w:val="none"/>
        </w:rPr>
      </w:r>
    </w:p>
    <w:p>
      <w:pPr>
        <w:rPr>
          <w:rFonts w:eastAsia="Arial Unicode MS"/>
          <w:sz w:val="28"/>
          <w:szCs w:val="28"/>
          <w:highlight w:val="none"/>
        </w:rPr>
      </w:pPr>
      <w:r>
        <w:rPr>
          <w:rFonts w:eastAsia="Arial Unicode MS"/>
          <w:sz w:val="28"/>
          <w:szCs w:val="28"/>
          <w:highlight w:val="none"/>
        </w:rPr>
      </w:r>
      <w:r>
        <w:rPr>
          <w:rFonts w:eastAsia="Arial Unicode MS"/>
          <w:sz w:val="28"/>
          <w:szCs w:val="28"/>
          <w:highlight w:val="none"/>
        </w:rPr>
      </w:r>
      <w:r>
        <w:rPr>
          <w:rFonts w:eastAsia="Arial Unicode MS"/>
          <w:sz w:val="28"/>
          <w:szCs w:val="28"/>
          <w:highlight w:val="none"/>
        </w:rPr>
      </w:r>
    </w:p>
    <w:p>
      <w:pPr>
        <w:pStyle w:val="857"/>
        <w:rPr>
          <w:rFonts w:eastAsia="Arial Unicode MS"/>
          <w:sz w:val="28"/>
          <w:szCs w:val="28"/>
          <w:highlight w:val="none"/>
        </w:rPr>
      </w:pPr>
      <w:r>
        <w:rPr>
          <w:rFonts w:eastAsia="Arial Unicode MS"/>
          <w:sz w:val="28"/>
          <w:szCs w:val="28"/>
        </w:rPr>
        <w:t xml:space="preserve">Губернатор Новосибирской области                                </w:t>
      </w:r>
      <w:r>
        <w:rPr>
          <w:rFonts w:eastAsia="Arial Unicode MS"/>
          <w:sz w:val="28"/>
          <w:szCs w:val="28"/>
        </w:rPr>
        <w:t xml:space="preserve">  </w:t>
      </w:r>
      <w:r>
        <w:rPr>
          <w:rFonts w:eastAsia="Arial Unicode MS"/>
          <w:sz w:val="28"/>
          <w:szCs w:val="28"/>
        </w:rPr>
        <w:t xml:space="preserve">                  А.А. Травников</w:t>
      </w:r>
      <w:r>
        <w:rPr>
          <w:rFonts w:eastAsia="Arial Unicode MS"/>
          <w:sz w:val="28"/>
          <w:szCs w:val="28"/>
        </w:rPr>
      </w:r>
      <w:r>
        <w:rPr>
          <w:rFonts w:eastAsia="Arial Unicode MS"/>
          <w:sz w:val="28"/>
          <w:szCs w:val="28"/>
          <w:highlight w:val="none"/>
        </w:rPr>
      </w:r>
    </w:p>
    <w:p>
      <w:pPr>
        <w:pStyle w:val="857"/>
      </w:pPr>
      <w:r/>
      <w:r/>
    </w:p>
    <w:p>
      <w:pPr>
        <w:pStyle w:val="857"/>
      </w:pPr>
      <w:r/>
      <w:r/>
    </w:p>
    <w:p>
      <w:r>
        <w:rPr>
          <w:highlight w:val="none"/>
        </w:rPr>
      </w:r>
      <w:r>
        <w:rPr>
          <w:highlight w:val="none"/>
        </w:rPr>
      </w:r>
      <w:r/>
    </w:p>
    <w:p>
      <w:pPr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857"/>
        <w:rPr>
          <w:highlight w:val="none"/>
        </w:rPr>
      </w:pPr>
      <w:r>
        <w:t xml:space="preserve">Д.Н. Богомолов</w:t>
      </w:r>
      <w:r>
        <w:rPr>
          <w:highlight w:val="none"/>
        </w:rPr>
      </w:r>
    </w:p>
    <w:p>
      <w:pPr>
        <w:pStyle w:val="857"/>
      </w:pPr>
      <w:r>
        <w:t xml:space="preserve">228-64-40</w:t>
      </w:r>
      <w:r/>
    </w:p>
    <w:p>
      <w:pPr>
        <w:pStyle w:val="862"/>
        <w:ind w:firstLine="709"/>
        <w:jc w:val="both"/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none"/>
        </w:rPr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0" w:right="0" w:firstLine="0"/>
        <w:jc w:val="right"/>
        <w:spacing w:before="168" w:after="0" w:line="288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  <w:highlight w:val="none"/>
        </w:rPr>
      </w:r>
      <w:r>
        <w:rPr>
          <w:rFonts w:ascii="Times New Roman" w:hAnsi="Times New Roman" w:eastAsia="Times New Roman" w:cs="Times New Roman"/>
          <w:color w:val="000000"/>
          <w:sz w:val="24"/>
          <w:highlight w:val="none"/>
        </w:rPr>
      </w:r>
    </w:p>
    <w:p>
      <w:pPr>
        <w:ind w:left="0" w:right="0" w:firstLine="0"/>
        <w:jc w:val="right"/>
        <w:spacing w:before="168" w:after="0" w:line="288" w:lineRule="atLeast"/>
        <w:rPr>
          <w:rFonts w:ascii="Times New Roman" w:hAnsi="Times New Roman" w:eastAsia="Times New Roman" w:cs="Times New Roman"/>
          <w:color w:val="000000"/>
          <w:sz w:val="24"/>
          <w:szCs w:val="24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  <w:highlight w:val="none"/>
        </w:rPr>
      </w:r>
      <w:r>
        <w:rPr>
          <w:rFonts w:ascii="Times New Roman" w:hAnsi="Times New Roman" w:eastAsia="Times New Roman" w:cs="Times New Roman"/>
          <w:color w:val="000000"/>
          <w:sz w:val="24"/>
          <w:highlight w:val="none"/>
        </w:rPr>
      </w:r>
    </w:p>
    <w:p>
      <w:pPr>
        <w:ind w:left="0" w:right="0" w:firstLine="0"/>
        <w:jc w:val="center"/>
        <w:spacing w:before="168" w:after="0" w:line="288" w:lineRule="atLeast"/>
        <w:rPr>
          <w:rFonts w:ascii="Times New Roman" w:hAnsi="Times New Roman" w:eastAsia="Times New Roman" w:cs="Times New Roman"/>
          <w:color w:val="000000"/>
          <w:sz w:val="24"/>
          <w:szCs w:val="24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                                                                                                                       Утверждены</w:t>
        <w:br/>
        <w:t xml:space="preserve">                                                                                                               </w:t>
      </w:r>
      <w:r>
        <w:rPr>
          <w:rFonts w:ascii="Times New Roman" w:hAnsi="Times New Roman" w:eastAsia="Times New Roman" w:cs="Times New Roman"/>
          <w:color w:val="000000"/>
          <w:sz w:val="24"/>
        </w:rPr>
        <w:t xml:space="preserve">постановлением Правительства</w:t>
      </w:r>
      <w:r>
        <w:rPr>
          <w:rFonts w:ascii="Times New Roman" w:hAnsi="Times New Roman" w:eastAsia="Times New Roman" w:cs="Times New Roman"/>
          <w:sz w:val="24"/>
        </w:rPr>
      </w:r>
      <w:r/>
    </w:p>
    <w:p>
      <w:pPr>
        <w:ind w:left="0" w:right="0" w:firstLine="0"/>
        <w:jc w:val="right"/>
        <w:spacing w:before="0" w:after="0" w:line="288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Новосибирской области</w:t>
      </w:r>
      <w:r/>
    </w:p>
    <w:p>
      <w:pPr>
        <w:ind w:left="0" w:right="0" w:firstLine="0"/>
        <w:jc w:val="right"/>
        <w:spacing w:before="0" w:after="0" w:line="288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от _______ 2025 г. № _____</w:t>
      </w:r>
      <w:r/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</w:rPr>
      </w:r>
    </w:p>
    <w:p>
      <w:pPr>
        <w:jc w:val="center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Изменения, которые вносятся в акты правительства Новосибирской области</w:t>
      </w:r>
      <w:r>
        <w:rPr>
          <w:sz w:val="28"/>
          <w:szCs w:val="28"/>
        </w:rPr>
      </w:r>
      <w:r>
        <w:rPr>
          <w:sz w:val="28"/>
          <w:szCs w:val="28"/>
          <w:highlight w:val="none"/>
        </w:rPr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</w:rPr>
      </w:r>
    </w:p>
    <w:p>
      <w:pPr>
        <w:ind w:firstLine="709"/>
        <w:jc w:val="both"/>
        <w:widowControl/>
        <w:rPr>
          <w:rFonts w:ascii="Times New Roman" w:hAnsi="Times New Roman" w:eastAsia="Times New Roman" w:cs="Times New Roman"/>
          <w:b/>
          <w:bCs/>
          <w:color w:val="auto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1. В пункте 17 </w:t>
      </w:r>
      <w:r>
        <w:rPr>
          <w:b w:val="0"/>
          <w:bCs w:val="0"/>
          <w:sz w:val="28"/>
          <w:szCs w:val="28"/>
        </w:rPr>
        <w:t xml:space="preserve">П</w:t>
      </w:r>
      <w:r>
        <w:rPr>
          <w:b w:val="0"/>
          <w:bCs w:val="0"/>
          <w:sz w:val="28"/>
          <w:szCs w:val="28"/>
        </w:rPr>
        <w:t xml:space="preserve">оряд</w:t>
      </w:r>
      <w:r>
        <w:rPr>
          <w:b w:val="0"/>
          <w:bCs w:val="0"/>
          <w:sz w:val="28"/>
          <w:szCs w:val="28"/>
        </w:rPr>
        <w:t xml:space="preserve">ка формирования и ведения регионального реестра незавершенных объектов капитального строительства Новосибирской области, состав включаемых в него сведений и поряд</w:t>
      </w:r>
      <w:r>
        <w:rPr>
          <w:b w:val="0"/>
          <w:bCs w:val="0"/>
          <w:sz w:val="28"/>
          <w:szCs w:val="28"/>
        </w:rPr>
        <w:t xml:space="preserve">ок</w:t>
      </w:r>
      <w:r>
        <w:rPr>
          <w:b w:val="0"/>
          <w:bCs w:val="0"/>
          <w:sz w:val="28"/>
          <w:szCs w:val="28"/>
        </w:rPr>
        <w:t xml:space="preserve"> предоставления таких сведений</w:t>
      </w:r>
      <w:r>
        <w:rPr>
          <w:b w:val="0"/>
          <w:bCs w:val="0"/>
          <w:sz w:val="28"/>
          <w:szCs w:val="28"/>
        </w:rPr>
        <w:t xml:space="preserve">, утвержденном Постановлением правительства Новосибирской области № 374-п от 14.08.2023 «</w:t>
      </w:r>
      <w:r>
        <w:rPr>
          <w:rFonts w:ascii="Times New Roman" w:hAnsi="Times New Roman" w:eastAsia="Times New Roman" w:cs="Times New Roman"/>
          <w:b w:val="0"/>
          <w:bCs w:val="0"/>
          <w:color w:val="auto"/>
          <w:sz w:val="28"/>
          <w:szCs w:val="28"/>
          <w:lang w:bidi="ar-SA"/>
        </w:rPr>
        <w:t xml:space="preserve">Об утверждении положения и состава межведомственной комиссии</w:t>
      </w:r>
      <w:r>
        <w:rPr>
          <w:rFonts w:ascii="Times New Roman" w:hAnsi="Times New Roman" w:eastAsia="Times New Roman" w:cs="Times New Roman"/>
          <w:b w:val="0"/>
          <w:bCs w:val="0"/>
          <w:color w:val="auto"/>
          <w:sz w:val="28"/>
          <w:szCs w:val="28"/>
          <w:lang w:bidi="ar-SA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auto"/>
          <w:sz w:val="28"/>
          <w:szCs w:val="28"/>
          <w:lang w:bidi="ar-SA"/>
        </w:rPr>
      </w:r>
      <w:r>
        <w:rPr>
          <w:rFonts w:ascii="Times New Roman" w:hAnsi="Times New Roman" w:eastAsia="Times New Roman" w:cs="Times New Roman"/>
          <w:b w:val="0"/>
          <w:bCs w:val="0"/>
          <w:color w:val="auto"/>
          <w:sz w:val="28"/>
          <w:szCs w:val="28"/>
          <w:lang w:bidi="ar-SA"/>
        </w:rPr>
        <w:t xml:space="preserve">по рассмотрению незавершенных объектов капитального</w:t>
      </w:r>
      <w:r>
        <w:rPr>
          <w:rFonts w:ascii="Times New Roman" w:hAnsi="Times New Roman" w:eastAsia="Times New Roman" w:cs="Times New Roman"/>
          <w:b w:val="0"/>
          <w:bCs w:val="0"/>
          <w:color w:val="auto"/>
          <w:sz w:val="28"/>
          <w:szCs w:val="28"/>
          <w:lang w:bidi="ar-SA"/>
        </w:rPr>
      </w:r>
      <w:r>
        <w:rPr>
          <w:rFonts w:ascii="Times New Roman" w:hAnsi="Times New Roman" w:eastAsia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auto"/>
          <w:sz w:val="28"/>
          <w:szCs w:val="28"/>
        </w:rPr>
      </w:r>
      <w:r>
        <w:rPr>
          <w:rFonts w:ascii="Times New Roman" w:hAnsi="Times New Roman" w:eastAsia="Times New Roman" w:cs="Times New Roman"/>
          <w:b w:val="0"/>
          <w:bCs w:val="0"/>
          <w:color w:val="auto"/>
          <w:sz w:val="28"/>
          <w:szCs w:val="28"/>
          <w:lang w:bidi="ar-SA"/>
        </w:rPr>
        <w:t xml:space="preserve">строительства, подлежащих включению в региональный реестр</w:t>
      </w:r>
      <w:r>
        <w:rPr>
          <w:rFonts w:ascii="Times New Roman" w:hAnsi="Times New Roman" w:eastAsia="Times New Roman" w:cs="Times New Roman"/>
          <w:b w:val="0"/>
          <w:bCs w:val="0"/>
          <w:color w:val="auto"/>
          <w:sz w:val="28"/>
          <w:szCs w:val="28"/>
          <w:lang w:bidi="ar-SA"/>
        </w:rPr>
      </w:r>
      <w:r>
        <w:rPr>
          <w:rFonts w:ascii="Times New Roman" w:hAnsi="Times New Roman" w:eastAsia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auto"/>
          <w:sz w:val="28"/>
          <w:szCs w:val="28"/>
        </w:rPr>
      </w:r>
      <w:r>
        <w:rPr>
          <w:rFonts w:ascii="Times New Roman" w:hAnsi="Times New Roman" w:eastAsia="Times New Roman" w:cs="Times New Roman"/>
          <w:b w:val="0"/>
          <w:bCs w:val="0"/>
          <w:color w:val="auto"/>
          <w:sz w:val="28"/>
          <w:szCs w:val="28"/>
          <w:lang w:bidi="ar-SA"/>
        </w:rPr>
        <w:t xml:space="preserve">незавершенных объектов капитального строительства</w:t>
      </w:r>
      <w:r>
        <w:rPr>
          <w:rFonts w:ascii="Times New Roman" w:hAnsi="Times New Roman" w:eastAsia="Times New Roman" w:cs="Times New Roman"/>
          <w:b w:val="0"/>
          <w:bCs w:val="0"/>
          <w:color w:val="auto"/>
          <w:sz w:val="28"/>
          <w:szCs w:val="28"/>
          <w:lang w:bidi="ar-SA"/>
        </w:rPr>
        <w:t xml:space="preserve"> Новосибирской области</w:t>
      </w:r>
      <w:r>
        <w:rPr>
          <w:rFonts w:ascii="Times New Roman" w:hAnsi="Times New Roman" w:eastAsia="Times New Roman" w:cs="Times New Roman"/>
          <w:b w:val="0"/>
          <w:bCs w:val="0"/>
          <w:color w:val="auto"/>
          <w:sz w:val="28"/>
          <w:szCs w:val="28"/>
          <w:lang w:bidi="ar-SA"/>
        </w:rPr>
      </w:r>
      <w:r>
        <w:rPr>
          <w:rFonts w:ascii="Times New Roman" w:hAnsi="Times New Roman" w:eastAsia="Times New Roman" w:cs="Times New Roman"/>
          <w:b w:val="0"/>
          <w:bCs w:val="0"/>
          <w:color w:val="auto"/>
          <w:sz w:val="28"/>
          <w:szCs w:val="28"/>
        </w:rPr>
      </w:r>
      <w:r>
        <w:rPr>
          <w:rFonts w:ascii="Times New Roman" w:hAnsi="Times New Roman" w:eastAsia="Times New Roman" w:cs="Times New Roman"/>
          <w:b w:val="0"/>
          <w:bCs w:val="0"/>
          <w:color w:val="auto"/>
          <w:sz w:val="28"/>
          <w:szCs w:val="28"/>
        </w:rPr>
      </w:r>
      <w:r>
        <w:rPr>
          <w:b w:val="0"/>
          <w:bCs w:val="0"/>
          <w:sz w:val="28"/>
          <w:szCs w:val="28"/>
        </w:rPr>
        <w:t xml:space="preserve">»: </w:t>
      </w:r>
      <w:r>
        <w:rPr>
          <w:b w:val="0"/>
          <w:bCs w:val="0"/>
          <w:sz w:val="28"/>
          <w:szCs w:val="28"/>
        </w:rPr>
      </w:r>
      <w:r>
        <w:rPr>
          <w:b w:val="0"/>
          <w:bCs w:val="0"/>
        </w:rPr>
      </w:r>
      <w:r>
        <w:rPr>
          <w:rFonts w:ascii="Times New Roman" w:hAnsi="Times New Roman" w:eastAsia="Times New Roman" w:cs="Times New Roman"/>
          <w:b w:val="0"/>
          <w:bCs w:val="0"/>
          <w:color w:val="auto"/>
          <w:sz w:val="28"/>
          <w:szCs w:val="28"/>
        </w:rPr>
      </w:r>
    </w:p>
    <w:p>
      <w:pPr>
        <w:ind w:left="0" w:right="0" w:firstLine="709"/>
        <w:jc w:val="both"/>
        <w:rPr>
          <w:rFonts w:ascii="Times New Roman" w:hAnsi="Times New Roman" w:eastAsia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</w:rPr>
        <w:t xml:space="preserve">1) пп. 3 изложить в следующей редакции: 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</w:rPr>
      </w:r>
    </w:p>
    <w:p>
      <w:pPr>
        <w:ind w:left="0" w:right="0" w:firstLine="709"/>
        <w:jc w:val="both"/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</w:rPr>
        <w:t xml:space="preserve">«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</w:rPr>
        <w:t xml:space="preserve">снос и списание объекта в установленном законодательством Российской Федерации порядке»;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</w:rPr>
      </w:r>
      <w:r/>
    </w:p>
    <w:p>
      <w:pPr>
        <w:ind w:left="0" w:right="0" w:firstLine="709"/>
        <w:jc w:val="both"/>
        <w:rPr>
          <w:rFonts w:ascii="Times New Roman" w:hAnsi="Times New Roman" w:eastAsia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</w:rPr>
        <w:t xml:space="preserve">2) 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</w:rPr>
        <w:t xml:space="preserve">дополнить подпунктом «г» следующего содержания:</w:t>
      </w:r>
      <w:r>
        <w:rPr>
          <w:b w:val="0"/>
          <w:bCs w:val="0"/>
          <w:sz w:val="28"/>
          <w:szCs w:val="28"/>
        </w:rPr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</w:rPr>
      </w:r>
    </w:p>
    <w:p>
      <w:pPr>
        <w:ind w:left="0" w:right="0" w:firstLine="709"/>
        <w:jc w:val="both"/>
        <w:rPr>
          <w:b w:val="0"/>
          <w:bCs w:val="0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«г) передача объекта из федеральной собственности в собственность субъекта Российской Федерации или муниципальную собственность в установленном з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</w:rPr>
        <w:t xml:space="preserve">аконодательством Российской Федерации порядке.</w:t>
      </w:r>
      <w:r>
        <w:rPr>
          <w:b w:val="0"/>
          <w:bCs w:val="0"/>
          <w:sz w:val="28"/>
          <w:szCs w:val="28"/>
        </w:rPr>
        <w:t xml:space="preserve">»</w:t>
      </w:r>
      <w:r>
        <w:rPr>
          <w:b w:val="0"/>
          <w:bCs w:val="0"/>
          <w:sz w:val="28"/>
          <w:szCs w:val="28"/>
        </w:rPr>
      </w:r>
    </w:p>
    <w:p>
      <w:pPr>
        <w:pStyle w:val="857"/>
        <w:ind w:firstLine="709"/>
        <w:jc w:val="both"/>
        <w:rPr>
          <w:b/>
          <w:sz w:val="28"/>
          <w:szCs w:val="28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</w:rPr>
        <w:t xml:space="preserve">2. Внести в </w:t>
      </w:r>
      <w:r>
        <w:rPr>
          <w:b w:val="0"/>
          <w:bCs w:val="0"/>
          <w:sz w:val="28"/>
          <w:szCs w:val="28"/>
        </w:rPr>
        <w:t xml:space="preserve">Постановление правительства Новосибирской области № 500-п от 31.10.2023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</w:rPr>
        <w:t xml:space="preserve"> «</w:t>
      </w:r>
      <w:r>
        <w:rPr>
          <w:b w:val="0"/>
          <w:bCs w:val="0"/>
          <w:sz w:val="28"/>
          <w:szCs w:val="28"/>
        </w:rPr>
        <w:t xml:space="preserve">О </w:t>
      </w:r>
      <w:r>
        <w:rPr>
          <w:b w:val="0"/>
          <w:bCs w:val="0"/>
          <w:sz w:val="28"/>
          <w:szCs w:val="28"/>
        </w:rPr>
        <w:t xml:space="preserve">П</w:t>
      </w:r>
      <w:r>
        <w:rPr>
          <w:b w:val="0"/>
          <w:bCs w:val="0"/>
          <w:sz w:val="28"/>
          <w:szCs w:val="28"/>
        </w:rPr>
        <w:t xml:space="preserve">орядк</w:t>
      </w:r>
      <w:r>
        <w:rPr>
          <w:b w:val="0"/>
          <w:bCs w:val="0"/>
          <w:sz w:val="28"/>
          <w:szCs w:val="28"/>
        </w:rPr>
        <w:t xml:space="preserve">е</w:t>
      </w:r>
      <w:r>
        <w:rPr>
          <w:b w:val="0"/>
          <w:bCs w:val="0"/>
          <w:sz w:val="28"/>
          <w:szCs w:val="28"/>
        </w:rPr>
        <w:t xml:space="preserve"> принятия управленческих решений в отношении объектов незавершенного строительства, включенных в региональный реестр незавершенных объектов капитального строительства, и внесения изменений в принятые управленческие решения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</w:rPr>
        <w:t xml:space="preserve">»</w:t>
      </w:r>
      <w:r>
        <w:rPr>
          <w:b w:val="0"/>
          <w:bCs w:val="0"/>
          <w:sz w:val="28"/>
          <w:szCs w:val="28"/>
        </w:rPr>
        <w:t xml:space="preserve">: </w:t>
      </w:r>
      <w:r>
        <w:rPr>
          <w:b w:val="0"/>
          <w:bCs w:val="0"/>
        </w:rPr>
      </w:r>
      <w:r>
        <w:rPr>
          <w:b w:val="0"/>
          <w:bCs w:val="0"/>
          <w:sz w:val="28"/>
          <w:szCs w:val="28"/>
        </w:rPr>
      </w:r>
    </w:p>
    <w:p>
      <w:pPr>
        <w:pStyle w:val="862"/>
        <w:numPr>
          <w:ilvl w:val="0"/>
          <w:numId w:val="15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  <w:t xml:space="preserve">в абзаце 4 пункта </w:t>
      </w:r>
      <w:r>
        <w:rPr>
          <w:rFonts w:ascii="Times New Roman" w:hAnsi="Times New Roman" w:cs="Times New Roman"/>
          <w:sz w:val="28"/>
          <w:szCs w:val="28"/>
        </w:rPr>
        <w:t xml:space="preserve">четвертом слова «сноса объекта» заменить словами «сноса и списания объекта»;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</w:p>
    <w:p>
      <w:pPr>
        <w:pStyle w:val="862"/>
        <w:numPr>
          <w:ilvl w:val="0"/>
          <w:numId w:val="15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пункте 5: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</w:p>
    <w:p>
      <w:pPr>
        <w:pStyle w:val="862"/>
        <w:ind w:left="0" w:firstLine="709"/>
        <w:jc w:val="both"/>
        <w:rPr>
          <w:rFonts w:ascii="Times New Roman" w:hAnsi="Times New Roman" w:eastAsia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 а) </w:t>
      </w:r>
      <w:r>
        <w:rPr>
          <w:rFonts w:ascii="Times New Roman" w:hAnsi="Times New Roman" w:cs="Times New Roman"/>
          <w:sz w:val="28"/>
          <w:szCs w:val="28"/>
        </w:rPr>
        <w:t xml:space="preserve">дополнить </w:t>
      </w:r>
      <w:r>
        <w:rPr>
          <w:rFonts w:ascii="Times New Roman" w:hAnsi="Times New Roman" w:cs="Times New Roman"/>
          <w:sz w:val="28"/>
          <w:szCs w:val="28"/>
        </w:rPr>
        <w:t xml:space="preserve"> подпунктом «в» следующего содержания: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/>
    </w:p>
    <w:p>
      <w:pPr>
        <w:pStyle w:val="861"/>
        <w:ind w:left="0" w:firstLine="709"/>
        <w:jc w:val="both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«в) наличие предложений главного распорядителя бюджетных средств о дальнейшем использовании объектов незавершенного строительства.»;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pStyle w:val="861"/>
        <w:ind w:left="0" w:firstLine="709"/>
        <w:jc w:val="both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б) в подпункте 3 </w:t>
      </w:r>
      <w:r>
        <w:rPr>
          <w:rFonts w:ascii="Times New Roman" w:hAnsi="Times New Roman" w:cs="Times New Roman"/>
          <w:sz w:val="28"/>
          <w:szCs w:val="28"/>
        </w:rPr>
        <w:t xml:space="preserve">после слов «решение о целесообразности сноса» дополнить словами «и списания»;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pStyle w:val="861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в) в предложении втором абзаца «д» подпункта 3 знак «.» заменить знаком «;». 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pStyle w:val="861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 дополнить подпунктом 4 следующего содержания: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61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«4. управленческое решение о целесообразности передачи объекта незавершенного строительства из федеральной собственности в собственность субъекта Российской Федерации или муниципальную собственность в установленном законодательством Российской Федерации </w:t>
      </w:r>
      <w:r>
        <w:rPr>
          <w:rFonts w:ascii="Times New Roman" w:hAnsi="Times New Roman" w:cs="Times New Roman"/>
          <w:sz w:val="28"/>
          <w:szCs w:val="28"/>
        </w:rPr>
        <w:t xml:space="preserve">порядке принимается с учетом наличия совокупности следующих критериев в отношении объекта незавершенного строительства:</w:t>
      </w:r>
      <w:r/>
    </w:p>
    <w:p>
      <w:pPr>
        <w:pStyle w:val="861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а</w:t>
      </w:r>
      <w:r>
        <w:rPr>
          <w:rFonts w:ascii="Times New Roman" w:hAnsi="Times New Roman" w:cs="Times New Roman"/>
          <w:sz w:val="28"/>
          <w:szCs w:val="28"/>
        </w:rPr>
        <w:t xml:space="preserve">) наличие подтверждения исполнительного органа субъекта Российской Федерации или органа местного самоуправления муниципального образования, в границах которых расположен объект незавершенного строительства, о целесообразности завершения строительства объек</w:t>
      </w:r>
      <w:r>
        <w:rPr>
          <w:rFonts w:ascii="Times New Roman" w:hAnsi="Times New Roman" w:cs="Times New Roman"/>
          <w:sz w:val="28"/>
          <w:szCs w:val="28"/>
        </w:rPr>
        <w:t xml:space="preserve">та незавершенного строительства или его сноса в установленном законодательством Российской Федерации порядке;</w:t>
      </w:r>
      <w:r/>
    </w:p>
    <w:p>
      <w:pPr>
        <w:pStyle w:val="861"/>
        <w:ind w:left="0" w:firstLine="709"/>
        <w:jc w:val="both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б) наличие согласия (письма) </w:t>
      </w:r>
      <w:r>
        <w:rPr>
          <w:sz w:val="28"/>
          <w:szCs w:val="28"/>
        </w:rPr>
        <w:t xml:space="preserve">главного распорядителя средств областного бюджета, главный распорядитель средств бюджета муниципального образования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на передачу объекта незавершенного строительства.»;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pStyle w:val="861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3) Пункт 16 изложить в следующей редакции:</w:t>
      </w:r>
      <w:r/>
    </w:p>
    <w:p>
      <w:pPr>
        <w:pStyle w:val="861"/>
        <w:ind w:left="0" w:firstLine="709"/>
        <w:jc w:val="both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«16. План мероприятий по снижению количества объектов незавершенного строительства разрабатывается и утверждается главным распорядителем бюджетных средств в соответствии с формой и порядком разработки, утверждения и мониторинга хода реализации плана меропри</w:t>
      </w:r>
      <w:r>
        <w:rPr>
          <w:rFonts w:ascii="Times New Roman" w:hAnsi="Times New Roman" w:cs="Times New Roman"/>
          <w:sz w:val="28"/>
          <w:szCs w:val="28"/>
        </w:rPr>
        <w:t xml:space="preserve">ятий и отчетных форм по снижению количества объектов незавершенного строительства, установленными Министерством строительства и жилищно-коммунального хозяйства Российской Федерации.».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right="-284" w:firstLine="709"/>
        <w:jc w:val="both"/>
        <w:widowControl/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3. В </w:t>
      </w:r>
      <w:r>
        <w:rPr>
          <w:sz w:val="28"/>
          <w:szCs w:val="28"/>
        </w:rPr>
        <w:t xml:space="preserve">межведомственную комиссию по принятию управленческих решений в отношении объектов незавершенного строительства, строительство, реконструкция которых осуществляются полностью или частично за счет средств бюджета Новосибирской области и местных бюджетов, утвержденную Постановлением Правительства Новосибирской области</w:t>
      </w:r>
      <w:r>
        <w:rPr>
          <w:rFonts w:ascii="Times New Roman" w:hAnsi="Times New Roman" w:eastAsia="Times New Roman" w:cs="Times New Roman"/>
          <w:color w:val="auto"/>
          <w:sz w:val="28"/>
          <w:szCs w:val="28"/>
        </w:rPr>
        <w:t xml:space="preserve">:</w:t>
      </w:r>
      <w:r/>
    </w:p>
    <w:p>
      <w:pPr>
        <w:ind w:right="-284" w:firstLine="709"/>
        <w:jc w:val="both"/>
        <w:widowControl/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color w:val="auto"/>
          <w:sz w:val="28"/>
          <w:szCs w:val="28"/>
        </w:rPr>
        <w:t xml:space="preserve">1) </w:t>
      </w:r>
      <w:r>
        <w:rPr>
          <w:rFonts w:ascii="Times New Roman" w:hAnsi="Times New Roman" w:eastAsia="Times New Roman" w:cs="Times New Roman"/>
          <w:color w:val="auto"/>
          <w:sz w:val="28"/>
          <w:szCs w:val="28"/>
        </w:rPr>
        <w:t xml:space="preserve"> Ввести в состав межведомственной комиссии</w:t>
      </w:r>
      <w:r>
        <w:rPr>
          <w:rFonts w:ascii="Times New Roman" w:hAnsi="Times New Roman" w:eastAsia="Times New Roman" w:cs="Times New Roman"/>
          <w:color w:val="auto"/>
          <w:sz w:val="28"/>
          <w:szCs w:val="28"/>
        </w:rPr>
        <w:t xml:space="preserve">: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</w:r>
    </w:p>
    <w:p>
      <w:pPr>
        <w:ind w:right="-284" w:firstLine="709"/>
        <w:jc w:val="both"/>
        <w:widowControl/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а) Богомолова Дмитрия Николаевича - 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  <w:t xml:space="preserve">министра строительства Новос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  <w:t xml:space="preserve">ибирской области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, заместителем председателя межведомственной комиссии;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</w:r>
    </w:p>
    <w:p>
      <w:pPr>
        <w:ind w:right="-284" w:firstLine="709"/>
        <w:jc w:val="both"/>
        <w:widowControl/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б) 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Шуклину Юлию Константиновну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 - </w:t>
      </w:r>
      <w:r>
        <w:rPr>
          <w:rFonts w:ascii="Times New Roman" w:hAnsi="Times New Roman" w:eastAsia="Times New Roman" w:cs="Times New Roman"/>
          <w:color w:val="auto"/>
          <w:sz w:val="28"/>
          <w:szCs w:val="28"/>
        </w:rPr>
        <w:t xml:space="preserve">министра культуры Новосибирской области</w:t>
      </w:r>
      <w:r>
        <w:rPr>
          <w:rFonts w:ascii="Times New Roman" w:hAnsi="Times New Roman" w:eastAsia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color w:val="auto"/>
          <w:sz w:val="28"/>
          <w:szCs w:val="28"/>
        </w:rPr>
        <w:t xml:space="preserve">(по согласованию);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</w:r>
    </w:p>
    <w:p>
      <w:pPr>
        <w:ind w:right="-284" w:firstLine="709"/>
        <w:jc w:val="both"/>
        <w:widowControl/>
      </w:pP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2) </w:t>
      </w:r>
      <w:r>
        <w:rPr>
          <w:rFonts w:ascii="Times New Roman" w:hAnsi="Times New Roman" w:eastAsia="Times New Roman" w:cs="Times New Roman"/>
          <w:color w:val="auto"/>
          <w:sz w:val="28"/>
          <w:szCs w:val="28"/>
        </w:rPr>
        <w:t xml:space="preserve">Вывести из состава межведомственной комиссии </w:t>
      </w:r>
      <w:r>
        <w:rPr>
          <w:rFonts w:ascii="Times New Roman" w:hAnsi="Times New Roman" w:eastAsia="Times New Roman" w:cs="Times New Roman"/>
          <w:color w:val="auto"/>
          <w:sz w:val="28"/>
          <w:szCs w:val="28"/>
        </w:rPr>
        <w:t xml:space="preserve">Колмакова А.В., Зимнякова Ю.В.</w:t>
      </w:r>
      <w:r/>
    </w:p>
    <w:p>
      <w:pPr>
        <w:pStyle w:val="862"/>
        <w:ind w:firstLine="709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3.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Контроль за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испол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нением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настоящего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постановления возложить на заместителя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Губернатора Новосибирской области Теленчинова Р.А.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pStyle w:val="857"/>
        <w:ind w:firstLine="709"/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57"/>
        <w:ind w:firstLine="709"/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sectPr>
      <w:headerReference w:type="default" r:id="rId9"/>
      <w:footnotePr/>
      <w:endnotePr/>
      <w:type w:val="nextPage"/>
      <w:pgSz w:w="11906" w:h="16838" w:orient="portrait"/>
      <w:pgMar w:top="1134" w:right="567" w:bottom="567" w:left="1418" w:header="709" w:footer="709" w:gutter="0"/>
      <w:pgNumType w:start="1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</w:font>
  <w:font w:name="Segoe UI">
    <w:panose1 w:val="020B0502040504020204"/>
  </w:font>
  <w:font w:name="Arial Unicode MS">
    <w:panose1 w:val="020B0604020202020204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07"/>
      <w:jc w:val="center"/>
    </w:pPr>
    <w:fldSimple w:instr="PAGE \* MERGEFORMAT">
      <w:r>
        <w:t xml:space="preserve">1</w:t>
      </w:r>
    </w:fldSimple>
    <w:r/>
    <w:r/>
  </w:p>
  <w:p>
    <w:pPr>
      <w:pStyle w:val="707"/>
    </w:pPr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80" w:hanging="420"/>
      </w:pPr>
      <w:rPr>
        <w:rFonts w:ascii="Times New Roman" w:hAnsi="Times New Roman" w:eastAsia="Times New Roman"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353" w:hanging="360"/>
      </w:pPr>
      <w:rPr>
        <w:rFonts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504" w:hanging="504"/>
      </w:pPr>
      <w:rPr>
        <w:rFonts w:cs="Times New Roman"/>
      </w:rPr>
    </w:lvl>
    <w:lvl w:ilvl="1">
      <w:start w:val="1"/>
      <w:numFmt w:val="decimal"/>
      <w:isLgl w:val="false"/>
      <w:suff w:val="tab"/>
      <w:lvlText w:val="%1.%2."/>
      <w:lvlJc w:val="left"/>
      <w:pPr>
        <w:ind w:left="504" w:hanging="504"/>
      </w:pPr>
      <w:rPr>
        <w:rFonts w:cs="Times New Roman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720" w:hanging="720"/>
      </w:pPr>
      <w:rPr>
        <w:rFonts w:cs="Times New Roman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080" w:hanging="1080"/>
      </w:pPr>
      <w:rPr>
        <w:rFonts w:cs="Times New Roman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440" w:hanging="1440"/>
      </w:pPr>
      <w:rPr>
        <w:rFonts w:cs="Times New Roman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1800" w:hanging="1800"/>
      </w:pPr>
      <w:rPr>
        <w:rFonts w:cs="Times New Roman"/>
      </w:r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70" w:hanging="360"/>
      </w:pPr>
      <w:rPr>
        <w:rFonts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790" w:hanging="360"/>
      </w:pPr>
      <w:rPr>
        <w:rFonts w:cs="Times New Roman"/>
      </w:rPr>
    </w:lvl>
    <w:lvl w:ilvl="2">
      <w:start w:val="1"/>
      <w:numFmt w:val="lowerRoman"/>
      <w:isLgl w:val="false"/>
      <w:suff w:val="tab"/>
      <w:lvlText w:val="%3."/>
      <w:lvlJc w:val="right"/>
      <w:pPr>
        <w:ind w:left="2510" w:hanging="180"/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3230" w:hanging="360"/>
      </w:pPr>
      <w:rPr>
        <w:rFonts w:cs="Times New Roman"/>
      </w:rPr>
    </w:lvl>
    <w:lvl w:ilvl="4">
      <w:start w:val="1"/>
      <w:numFmt w:val="lowerLetter"/>
      <w:isLgl w:val="false"/>
      <w:suff w:val="tab"/>
      <w:lvlText w:val="%5."/>
      <w:lvlJc w:val="left"/>
      <w:pPr>
        <w:ind w:left="3950" w:hanging="360"/>
      </w:pPr>
      <w:rPr>
        <w:rFonts w:cs="Times New Roman"/>
      </w:rPr>
    </w:lvl>
    <w:lvl w:ilvl="5">
      <w:start w:val="1"/>
      <w:numFmt w:val="lowerRoman"/>
      <w:isLgl w:val="false"/>
      <w:suff w:val="tab"/>
      <w:lvlText w:val="%6."/>
      <w:lvlJc w:val="right"/>
      <w:pPr>
        <w:ind w:left="4670" w:hanging="180"/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390" w:hanging="360"/>
      </w:pPr>
      <w:rPr>
        <w:rFonts w:cs="Times New Roman"/>
      </w:rPr>
    </w:lvl>
    <w:lvl w:ilvl="7">
      <w:start w:val="1"/>
      <w:numFmt w:val="lowerLetter"/>
      <w:isLgl w:val="false"/>
      <w:suff w:val="tab"/>
      <w:lvlText w:val="%8."/>
      <w:lvlJc w:val="left"/>
      <w:pPr>
        <w:ind w:left="6110" w:hanging="360"/>
      </w:pPr>
      <w:rPr>
        <w:rFonts w:cs="Times New Roman"/>
      </w:rPr>
    </w:lvl>
    <w:lvl w:ilvl="8">
      <w:start w:val="1"/>
      <w:numFmt w:val="lowerRoman"/>
      <w:isLgl w:val="false"/>
      <w:suff w:val="tab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70" w:hanging="360"/>
      </w:pPr>
      <w:rPr>
        <w:rFonts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790" w:hanging="360"/>
      </w:pPr>
      <w:rPr>
        <w:rFonts w:cs="Times New Roman"/>
      </w:rPr>
    </w:lvl>
    <w:lvl w:ilvl="2">
      <w:start w:val="1"/>
      <w:numFmt w:val="lowerRoman"/>
      <w:isLgl w:val="false"/>
      <w:suff w:val="tab"/>
      <w:lvlText w:val="%3."/>
      <w:lvlJc w:val="right"/>
      <w:pPr>
        <w:ind w:left="2510" w:hanging="180"/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3230" w:hanging="360"/>
      </w:pPr>
      <w:rPr>
        <w:rFonts w:cs="Times New Roman"/>
      </w:rPr>
    </w:lvl>
    <w:lvl w:ilvl="4">
      <w:start w:val="1"/>
      <w:numFmt w:val="lowerLetter"/>
      <w:isLgl w:val="false"/>
      <w:suff w:val="tab"/>
      <w:lvlText w:val="%5."/>
      <w:lvlJc w:val="left"/>
      <w:pPr>
        <w:ind w:left="3950" w:hanging="360"/>
      </w:pPr>
      <w:rPr>
        <w:rFonts w:cs="Times New Roman"/>
      </w:rPr>
    </w:lvl>
    <w:lvl w:ilvl="5">
      <w:start w:val="1"/>
      <w:numFmt w:val="lowerRoman"/>
      <w:isLgl w:val="false"/>
      <w:suff w:val="tab"/>
      <w:lvlText w:val="%6."/>
      <w:lvlJc w:val="right"/>
      <w:pPr>
        <w:ind w:left="4670" w:hanging="180"/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390" w:hanging="360"/>
      </w:pPr>
      <w:rPr>
        <w:rFonts w:cs="Times New Roman"/>
      </w:rPr>
    </w:lvl>
    <w:lvl w:ilvl="7">
      <w:start w:val="1"/>
      <w:numFmt w:val="lowerLetter"/>
      <w:isLgl w:val="false"/>
      <w:suff w:val="tab"/>
      <w:lvlText w:val="%8."/>
      <w:lvlJc w:val="left"/>
      <w:pPr>
        <w:ind w:left="6110" w:hanging="360"/>
      </w:pPr>
      <w:rPr>
        <w:rFonts w:cs="Times New Roman"/>
      </w:rPr>
    </w:lvl>
    <w:lvl w:ilvl="8">
      <w:start w:val="1"/>
      <w:numFmt w:val="lowerRoman"/>
      <w:isLgl w:val="false"/>
      <w:suff w:val="tab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211" w:hanging="360"/>
      </w:pPr>
      <w:rPr>
        <w:rFonts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931" w:hanging="360"/>
      </w:pPr>
      <w:rPr>
        <w:rFonts w:cs="Times New Roman"/>
      </w:rPr>
    </w:lvl>
    <w:lvl w:ilvl="2">
      <w:start w:val="1"/>
      <w:numFmt w:val="lowerRoman"/>
      <w:isLgl w:val="false"/>
      <w:suff w:val="tab"/>
      <w:lvlText w:val="%3."/>
      <w:lvlJc w:val="right"/>
      <w:pPr>
        <w:ind w:left="2651" w:hanging="180"/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3371" w:hanging="360"/>
      </w:pPr>
      <w:rPr>
        <w:rFonts w:cs="Times New Roman"/>
      </w:rPr>
    </w:lvl>
    <w:lvl w:ilvl="4">
      <w:start w:val="1"/>
      <w:numFmt w:val="lowerLetter"/>
      <w:isLgl w:val="false"/>
      <w:suff w:val="tab"/>
      <w:lvlText w:val="%5."/>
      <w:lvlJc w:val="left"/>
      <w:pPr>
        <w:ind w:left="4091" w:hanging="360"/>
      </w:pPr>
      <w:rPr>
        <w:rFonts w:cs="Times New Roman"/>
      </w:rPr>
    </w:lvl>
    <w:lvl w:ilvl="5">
      <w:start w:val="1"/>
      <w:numFmt w:val="lowerRoman"/>
      <w:isLgl w:val="false"/>
      <w:suff w:val="tab"/>
      <w:lvlText w:val="%6."/>
      <w:lvlJc w:val="right"/>
      <w:pPr>
        <w:ind w:left="4811" w:hanging="180"/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531" w:hanging="360"/>
      </w:pPr>
      <w:rPr>
        <w:rFonts w:cs="Times New Roman"/>
      </w:rPr>
    </w:lvl>
    <w:lvl w:ilvl="7">
      <w:start w:val="1"/>
      <w:numFmt w:val="lowerLetter"/>
      <w:isLgl w:val="false"/>
      <w:suff w:val="tab"/>
      <w:lvlText w:val="%8."/>
      <w:lvlJc w:val="left"/>
      <w:pPr>
        <w:ind w:left="6251" w:hanging="360"/>
      </w:pPr>
      <w:rPr>
        <w:rFonts w:cs="Times New Roman"/>
      </w:rPr>
    </w:lvl>
    <w:lvl w:ilvl="8">
      <w:start w:val="1"/>
      <w:numFmt w:val="lowerRoman"/>
      <w:isLgl w:val="false"/>
      <w:suff w:val="tab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41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3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5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7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29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1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3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5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78" w:hanging="180"/>
      </w:p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41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3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5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7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29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1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3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5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78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9"/>
  </w:num>
  <w:num w:numId="6">
    <w:abstractNumId w:val="6"/>
  </w:num>
  <w:num w:numId="7">
    <w:abstractNumId w:val="5"/>
  </w:num>
  <w:num w:numId="8">
    <w:abstractNumId w:val="7"/>
  </w:num>
  <w:num w:numId="9">
    <w:abstractNumId w:val="8"/>
  </w:num>
  <w:num w:numId="10">
    <w:abstractNumId w:val="0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9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Times New Roman"/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80">
    <w:name w:val="Heading 1"/>
    <w:basedOn w:val="857"/>
    <w:next w:val="857"/>
    <w:link w:val="681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81">
    <w:name w:val="Heading 1 Char"/>
    <w:link w:val="680"/>
    <w:uiPriority w:val="9"/>
    <w:rPr>
      <w:rFonts w:ascii="Arial" w:hAnsi="Arial" w:eastAsia="Arial" w:cs="Arial"/>
      <w:sz w:val="40"/>
      <w:szCs w:val="40"/>
    </w:rPr>
  </w:style>
  <w:style w:type="paragraph" w:styleId="682">
    <w:name w:val="Heading 2"/>
    <w:basedOn w:val="857"/>
    <w:next w:val="857"/>
    <w:link w:val="683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83">
    <w:name w:val="Heading 2 Char"/>
    <w:link w:val="682"/>
    <w:uiPriority w:val="9"/>
    <w:rPr>
      <w:rFonts w:ascii="Arial" w:hAnsi="Arial" w:eastAsia="Arial" w:cs="Arial"/>
      <w:sz w:val="34"/>
    </w:rPr>
  </w:style>
  <w:style w:type="paragraph" w:styleId="684">
    <w:name w:val="Heading 3"/>
    <w:basedOn w:val="857"/>
    <w:next w:val="857"/>
    <w:link w:val="685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85">
    <w:name w:val="Heading 3 Char"/>
    <w:link w:val="684"/>
    <w:uiPriority w:val="9"/>
    <w:rPr>
      <w:rFonts w:ascii="Arial" w:hAnsi="Arial" w:eastAsia="Arial" w:cs="Arial"/>
      <w:sz w:val="30"/>
      <w:szCs w:val="30"/>
    </w:rPr>
  </w:style>
  <w:style w:type="paragraph" w:styleId="686">
    <w:name w:val="Heading 4"/>
    <w:basedOn w:val="857"/>
    <w:next w:val="857"/>
    <w:link w:val="687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87">
    <w:name w:val="Heading 4 Char"/>
    <w:link w:val="686"/>
    <w:uiPriority w:val="9"/>
    <w:rPr>
      <w:rFonts w:ascii="Arial" w:hAnsi="Arial" w:eastAsia="Arial" w:cs="Arial"/>
      <w:b/>
      <w:bCs/>
      <w:sz w:val="26"/>
      <w:szCs w:val="26"/>
    </w:rPr>
  </w:style>
  <w:style w:type="paragraph" w:styleId="688">
    <w:name w:val="Heading 5"/>
    <w:basedOn w:val="857"/>
    <w:next w:val="857"/>
    <w:link w:val="689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89">
    <w:name w:val="Heading 5 Char"/>
    <w:link w:val="688"/>
    <w:uiPriority w:val="9"/>
    <w:rPr>
      <w:rFonts w:ascii="Arial" w:hAnsi="Arial" w:eastAsia="Arial" w:cs="Arial"/>
      <w:b/>
      <w:bCs/>
      <w:sz w:val="24"/>
      <w:szCs w:val="24"/>
    </w:rPr>
  </w:style>
  <w:style w:type="paragraph" w:styleId="690">
    <w:name w:val="Heading 6"/>
    <w:basedOn w:val="857"/>
    <w:next w:val="857"/>
    <w:link w:val="691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91">
    <w:name w:val="Heading 6 Char"/>
    <w:link w:val="690"/>
    <w:uiPriority w:val="9"/>
    <w:rPr>
      <w:rFonts w:ascii="Arial" w:hAnsi="Arial" w:eastAsia="Arial" w:cs="Arial"/>
      <w:b/>
      <w:bCs/>
      <w:sz w:val="22"/>
      <w:szCs w:val="22"/>
    </w:rPr>
  </w:style>
  <w:style w:type="paragraph" w:styleId="692">
    <w:name w:val="Heading 7"/>
    <w:basedOn w:val="857"/>
    <w:next w:val="857"/>
    <w:link w:val="693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93">
    <w:name w:val="Heading 7 Char"/>
    <w:link w:val="692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94">
    <w:name w:val="Heading 8"/>
    <w:basedOn w:val="857"/>
    <w:next w:val="857"/>
    <w:link w:val="695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95">
    <w:name w:val="Heading 8 Char"/>
    <w:link w:val="694"/>
    <w:uiPriority w:val="9"/>
    <w:rPr>
      <w:rFonts w:ascii="Arial" w:hAnsi="Arial" w:eastAsia="Arial" w:cs="Arial"/>
      <w:i/>
      <w:iCs/>
      <w:sz w:val="22"/>
      <w:szCs w:val="22"/>
    </w:rPr>
  </w:style>
  <w:style w:type="paragraph" w:styleId="696">
    <w:name w:val="Heading 9"/>
    <w:basedOn w:val="857"/>
    <w:next w:val="857"/>
    <w:link w:val="697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97">
    <w:name w:val="Heading 9 Char"/>
    <w:link w:val="696"/>
    <w:uiPriority w:val="9"/>
    <w:rPr>
      <w:rFonts w:ascii="Arial" w:hAnsi="Arial" w:eastAsia="Arial" w:cs="Arial"/>
      <w:i/>
      <w:iCs/>
      <w:sz w:val="21"/>
      <w:szCs w:val="21"/>
    </w:rPr>
  </w:style>
  <w:style w:type="paragraph" w:styleId="698">
    <w:name w:val="No Spacing"/>
    <w:uiPriority w:val="1"/>
    <w:qFormat/>
    <w:pPr>
      <w:spacing w:before="0" w:after="0" w:line="240" w:lineRule="auto"/>
    </w:pPr>
  </w:style>
  <w:style w:type="paragraph" w:styleId="699">
    <w:name w:val="Title"/>
    <w:basedOn w:val="857"/>
    <w:next w:val="857"/>
    <w:link w:val="700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00">
    <w:name w:val="Title Char"/>
    <w:link w:val="699"/>
    <w:uiPriority w:val="10"/>
    <w:rPr>
      <w:sz w:val="48"/>
      <w:szCs w:val="48"/>
    </w:rPr>
  </w:style>
  <w:style w:type="paragraph" w:styleId="701">
    <w:name w:val="Subtitle"/>
    <w:basedOn w:val="857"/>
    <w:next w:val="857"/>
    <w:link w:val="702"/>
    <w:uiPriority w:val="11"/>
    <w:qFormat/>
    <w:pPr>
      <w:spacing w:before="200" w:after="200"/>
    </w:pPr>
    <w:rPr>
      <w:sz w:val="24"/>
      <w:szCs w:val="24"/>
    </w:rPr>
  </w:style>
  <w:style w:type="character" w:styleId="702">
    <w:name w:val="Subtitle Char"/>
    <w:link w:val="701"/>
    <w:uiPriority w:val="11"/>
    <w:rPr>
      <w:sz w:val="24"/>
      <w:szCs w:val="24"/>
    </w:rPr>
  </w:style>
  <w:style w:type="paragraph" w:styleId="703">
    <w:name w:val="Quote"/>
    <w:basedOn w:val="857"/>
    <w:next w:val="857"/>
    <w:link w:val="704"/>
    <w:uiPriority w:val="29"/>
    <w:qFormat/>
    <w:pPr>
      <w:ind w:left="720" w:right="720"/>
    </w:pPr>
    <w:rPr>
      <w:i/>
    </w:rPr>
  </w:style>
  <w:style w:type="character" w:styleId="704">
    <w:name w:val="Quote Char"/>
    <w:link w:val="703"/>
    <w:uiPriority w:val="29"/>
    <w:rPr>
      <w:i/>
    </w:rPr>
  </w:style>
  <w:style w:type="paragraph" w:styleId="705">
    <w:name w:val="Intense Quote"/>
    <w:basedOn w:val="857"/>
    <w:next w:val="857"/>
    <w:link w:val="706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6">
    <w:name w:val="Intense Quote Char"/>
    <w:link w:val="705"/>
    <w:uiPriority w:val="30"/>
    <w:rPr>
      <w:i/>
    </w:rPr>
  </w:style>
  <w:style w:type="paragraph" w:styleId="707">
    <w:name w:val="Header"/>
    <w:basedOn w:val="857"/>
    <w:link w:val="708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8">
    <w:name w:val="Header Char"/>
    <w:link w:val="707"/>
    <w:uiPriority w:val="99"/>
  </w:style>
  <w:style w:type="paragraph" w:styleId="709">
    <w:name w:val="Footer"/>
    <w:basedOn w:val="857"/>
    <w:link w:val="712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10">
    <w:name w:val="Footer Char"/>
    <w:link w:val="709"/>
    <w:uiPriority w:val="99"/>
  </w:style>
  <w:style w:type="paragraph" w:styleId="711">
    <w:name w:val="Caption"/>
    <w:basedOn w:val="857"/>
    <w:next w:val="85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12">
    <w:name w:val="Caption Char"/>
    <w:basedOn w:val="711"/>
    <w:link w:val="709"/>
    <w:uiPriority w:val="99"/>
  </w:style>
  <w:style w:type="table" w:styleId="713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14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15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6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7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8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20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2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3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4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5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6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7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42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43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44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45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46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47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48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49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50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51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52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53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54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55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56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57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58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59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60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61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62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5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77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78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79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80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81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82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83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4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5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6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7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8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9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0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1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2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3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4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05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06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07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08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09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10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11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12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13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14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15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16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17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18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19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20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21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22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23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24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25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26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27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28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29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30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31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32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33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34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35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36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37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38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39">
    <w:name w:val="Hyperlink"/>
    <w:uiPriority w:val="99"/>
    <w:unhideWhenUsed/>
    <w:rPr>
      <w:color w:val="0000ff" w:themeColor="hyperlink"/>
      <w:u w:val="single"/>
    </w:rPr>
  </w:style>
  <w:style w:type="paragraph" w:styleId="840">
    <w:name w:val="footnote text"/>
    <w:basedOn w:val="857"/>
    <w:link w:val="841"/>
    <w:uiPriority w:val="99"/>
    <w:semiHidden/>
    <w:unhideWhenUsed/>
    <w:pPr>
      <w:spacing w:after="40" w:line="240" w:lineRule="auto"/>
    </w:pPr>
    <w:rPr>
      <w:sz w:val="18"/>
    </w:rPr>
  </w:style>
  <w:style w:type="character" w:styleId="841">
    <w:name w:val="Footnote Text Char"/>
    <w:link w:val="840"/>
    <w:uiPriority w:val="99"/>
    <w:rPr>
      <w:sz w:val="18"/>
    </w:rPr>
  </w:style>
  <w:style w:type="character" w:styleId="842">
    <w:name w:val="footnote reference"/>
    <w:uiPriority w:val="99"/>
    <w:unhideWhenUsed/>
    <w:rPr>
      <w:vertAlign w:val="superscript"/>
    </w:rPr>
  </w:style>
  <w:style w:type="paragraph" w:styleId="843">
    <w:name w:val="endnote text"/>
    <w:basedOn w:val="857"/>
    <w:link w:val="844"/>
    <w:uiPriority w:val="99"/>
    <w:semiHidden/>
    <w:unhideWhenUsed/>
    <w:pPr>
      <w:spacing w:after="0" w:line="240" w:lineRule="auto"/>
    </w:pPr>
    <w:rPr>
      <w:sz w:val="20"/>
    </w:rPr>
  </w:style>
  <w:style w:type="character" w:styleId="844">
    <w:name w:val="Endnote Text Char"/>
    <w:link w:val="843"/>
    <w:uiPriority w:val="99"/>
    <w:rPr>
      <w:sz w:val="20"/>
    </w:rPr>
  </w:style>
  <w:style w:type="character" w:styleId="845">
    <w:name w:val="endnote reference"/>
    <w:uiPriority w:val="99"/>
    <w:semiHidden/>
    <w:unhideWhenUsed/>
    <w:rPr>
      <w:vertAlign w:val="superscript"/>
    </w:rPr>
  </w:style>
  <w:style w:type="paragraph" w:styleId="846">
    <w:name w:val="toc 1"/>
    <w:basedOn w:val="857"/>
    <w:next w:val="857"/>
    <w:uiPriority w:val="39"/>
    <w:unhideWhenUsed/>
    <w:pPr>
      <w:ind w:left="0" w:right="0" w:firstLine="0"/>
      <w:spacing w:after="57"/>
    </w:pPr>
  </w:style>
  <w:style w:type="paragraph" w:styleId="847">
    <w:name w:val="toc 2"/>
    <w:basedOn w:val="857"/>
    <w:next w:val="857"/>
    <w:uiPriority w:val="39"/>
    <w:unhideWhenUsed/>
    <w:pPr>
      <w:ind w:left="283" w:right="0" w:firstLine="0"/>
      <w:spacing w:after="57"/>
    </w:pPr>
  </w:style>
  <w:style w:type="paragraph" w:styleId="848">
    <w:name w:val="toc 3"/>
    <w:basedOn w:val="857"/>
    <w:next w:val="857"/>
    <w:uiPriority w:val="39"/>
    <w:unhideWhenUsed/>
    <w:pPr>
      <w:ind w:left="567" w:right="0" w:firstLine="0"/>
      <w:spacing w:after="57"/>
    </w:pPr>
  </w:style>
  <w:style w:type="paragraph" w:styleId="849">
    <w:name w:val="toc 4"/>
    <w:basedOn w:val="857"/>
    <w:next w:val="857"/>
    <w:uiPriority w:val="39"/>
    <w:unhideWhenUsed/>
    <w:pPr>
      <w:ind w:left="850" w:right="0" w:firstLine="0"/>
      <w:spacing w:after="57"/>
    </w:pPr>
  </w:style>
  <w:style w:type="paragraph" w:styleId="850">
    <w:name w:val="toc 5"/>
    <w:basedOn w:val="857"/>
    <w:next w:val="857"/>
    <w:uiPriority w:val="39"/>
    <w:unhideWhenUsed/>
    <w:pPr>
      <w:ind w:left="1134" w:right="0" w:firstLine="0"/>
      <w:spacing w:after="57"/>
    </w:pPr>
  </w:style>
  <w:style w:type="paragraph" w:styleId="851">
    <w:name w:val="toc 6"/>
    <w:basedOn w:val="857"/>
    <w:next w:val="857"/>
    <w:uiPriority w:val="39"/>
    <w:unhideWhenUsed/>
    <w:pPr>
      <w:ind w:left="1417" w:right="0" w:firstLine="0"/>
      <w:spacing w:after="57"/>
    </w:pPr>
  </w:style>
  <w:style w:type="paragraph" w:styleId="852">
    <w:name w:val="toc 7"/>
    <w:basedOn w:val="857"/>
    <w:next w:val="857"/>
    <w:uiPriority w:val="39"/>
    <w:unhideWhenUsed/>
    <w:pPr>
      <w:ind w:left="1701" w:right="0" w:firstLine="0"/>
      <w:spacing w:after="57"/>
    </w:pPr>
  </w:style>
  <w:style w:type="paragraph" w:styleId="853">
    <w:name w:val="toc 8"/>
    <w:basedOn w:val="857"/>
    <w:next w:val="857"/>
    <w:uiPriority w:val="39"/>
    <w:unhideWhenUsed/>
    <w:pPr>
      <w:ind w:left="1984" w:right="0" w:firstLine="0"/>
      <w:spacing w:after="57"/>
    </w:pPr>
  </w:style>
  <w:style w:type="paragraph" w:styleId="854">
    <w:name w:val="toc 9"/>
    <w:basedOn w:val="857"/>
    <w:next w:val="857"/>
    <w:uiPriority w:val="39"/>
    <w:unhideWhenUsed/>
    <w:pPr>
      <w:ind w:left="2268" w:right="0" w:firstLine="0"/>
      <w:spacing w:after="57"/>
    </w:pPr>
  </w:style>
  <w:style w:type="paragraph" w:styleId="855">
    <w:name w:val="TOC Heading"/>
    <w:uiPriority w:val="39"/>
    <w:unhideWhenUsed/>
  </w:style>
  <w:style w:type="paragraph" w:styleId="856">
    <w:name w:val="table of figures"/>
    <w:basedOn w:val="857"/>
    <w:next w:val="857"/>
    <w:uiPriority w:val="99"/>
    <w:unhideWhenUsed/>
    <w:pPr>
      <w:spacing w:after="0" w:afterAutospacing="0"/>
    </w:pPr>
  </w:style>
  <w:style w:type="paragraph" w:styleId="857" w:default="1">
    <w:name w:val="Normal"/>
    <w:next w:val="857"/>
    <w:link w:val="857"/>
    <w:qFormat/>
    <w:rPr>
      <w:rFonts w:ascii="Times New Roman" w:hAnsi="Times New Roman" w:eastAsia="Times New Roman"/>
      <w:lang w:val="ru-RU" w:eastAsia="ru-RU" w:bidi="ar-SA"/>
    </w:rPr>
  </w:style>
  <w:style w:type="character" w:styleId="858">
    <w:name w:val="Основной шрифт абзаца"/>
    <w:next w:val="858"/>
    <w:link w:val="857"/>
    <w:semiHidden/>
  </w:style>
  <w:style w:type="table" w:styleId="859">
    <w:name w:val="Обычная таблица"/>
    <w:next w:val="859"/>
    <w:link w:val="857"/>
    <w:semiHidden/>
    <w:tblPr/>
  </w:style>
  <w:style w:type="numbering" w:styleId="860">
    <w:name w:val="Нет списка"/>
    <w:next w:val="860"/>
    <w:link w:val="857"/>
    <w:semiHidden/>
  </w:style>
  <w:style w:type="paragraph" w:styleId="861">
    <w:name w:val="List Paragraph"/>
    <w:basedOn w:val="857"/>
    <w:next w:val="861"/>
    <w:link w:val="857"/>
    <w:pPr>
      <w:contextualSpacing/>
      <w:ind w:left="720"/>
    </w:pPr>
  </w:style>
  <w:style w:type="paragraph" w:styleId="862">
    <w:name w:val="ConsPlusNormal"/>
    <w:next w:val="862"/>
    <w:link w:val="880"/>
    <w:pPr>
      <w:widowControl w:val="off"/>
    </w:pPr>
    <w:rPr>
      <w:rFonts w:cs="Calibri"/>
      <w:sz w:val="22"/>
      <w:lang w:val="ru-RU" w:eastAsia="ru-RU" w:bidi="ar-SA"/>
    </w:rPr>
  </w:style>
  <w:style w:type="character" w:styleId="863">
    <w:name w:val="Гиперссылка"/>
    <w:next w:val="863"/>
    <w:link w:val="857"/>
    <w:rPr>
      <w:rFonts w:cs="Times New Roman"/>
      <w:color w:val="0563c1"/>
      <w:u w:val="single"/>
    </w:rPr>
  </w:style>
  <w:style w:type="character" w:styleId="864">
    <w:name w:val="Знак примечания"/>
    <w:next w:val="864"/>
    <w:link w:val="857"/>
    <w:semiHidden/>
    <w:rPr>
      <w:rFonts w:cs="Times New Roman"/>
      <w:sz w:val="16"/>
      <w:szCs w:val="16"/>
    </w:rPr>
  </w:style>
  <w:style w:type="paragraph" w:styleId="865">
    <w:name w:val="Текст примечания"/>
    <w:basedOn w:val="857"/>
    <w:next w:val="865"/>
    <w:link w:val="866"/>
    <w:semiHidden/>
  </w:style>
  <w:style w:type="character" w:styleId="866">
    <w:name w:val="Текст примечания Знак"/>
    <w:next w:val="866"/>
    <w:link w:val="865"/>
    <w:semiHidden/>
    <w:rPr>
      <w:rFonts w:ascii="Times New Roman" w:hAnsi="Times New Roman" w:eastAsia="Times New Roman" w:cs="Times New Roman"/>
      <w:sz w:val="20"/>
      <w:szCs w:val="20"/>
      <w:lang w:val="en-US" w:eastAsia="ru-RU"/>
    </w:rPr>
  </w:style>
  <w:style w:type="paragraph" w:styleId="867">
    <w:name w:val="Тема примечания"/>
    <w:basedOn w:val="865"/>
    <w:next w:val="865"/>
    <w:link w:val="868"/>
    <w:semiHidden/>
    <w:rPr>
      <w:b/>
      <w:bCs/>
    </w:rPr>
  </w:style>
  <w:style w:type="character" w:styleId="868">
    <w:name w:val="Тема примечания Знак"/>
    <w:next w:val="868"/>
    <w:link w:val="867"/>
    <w:semiHidden/>
    <w:rPr>
      <w:rFonts w:ascii="Times New Roman" w:hAnsi="Times New Roman" w:eastAsia="Times New Roman" w:cs="Times New Roman"/>
      <w:b/>
      <w:bCs/>
      <w:sz w:val="20"/>
      <w:szCs w:val="20"/>
      <w:lang w:val="en-US" w:eastAsia="ru-RU"/>
    </w:rPr>
  </w:style>
  <w:style w:type="paragraph" w:styleId="869">
    <w:name w:val="Текст выноски"/>
    <w:basedOn w:val="857"/>
    <w:next w:val="869"/>
    <w:link w:val="870"/>
    <w:semiHidden/>
    <w:rPr>
      <w:rFonts w:ascii="Segoe UI" w:hAnsi="Segoe UI" w:cs="Segoe UI"/>
      <w:sz w:val="18"/>
      <w:szCs w:val="18"/>
    </w:rPr>
  </w:style>
  <w:style w:type="character" w:styleId="870">
    <w:name w:val="Текст выноски Знак"/>
    <w:next w:val="870"/>
    <w:link w:val="869"/>
    <w:semiHidden/>
    <w:rPr>
      <w:rFonts w:ascii="Segoe UI" w:hAnsi="Segoe UI" w:eastAsia="Times New Roman" w:cs="Segoe UI"/>
      <w:sz w:val="18"/>
      <w:szCs w:val="18"/>
      <w:lang w:val="en-US" w:eastAsia="ru-RU"/>
    </w:rPr>
  </w:style>
  <w:style w:type="paragraph" w:styleId="871">
    <w:name w:val="Верхний колонтитул"/>
    <w:basedOn w:val="857"/>
    <w:next w:val="871"/>
    <w:link w:val="872"/>
    <w:pPr>
      <w:tabs>
        <w:tab w:val="center" w:pos="4153" w:leader="none"/>
        <w:tab w:val="right" w:pos="8306" w:leader="none"/>
      </w:tabs>
    </w:pPr>
  </w:style>
  <w:style w:type="character" w:styleId="872">
    <w:name w:val="Верхний колонтитул Знак"/>
    <w:next w:val="872"/>
    <w:link w:val="871"/>
    <w:rPr>
      <w:lang w:val="ru-RU" w:eastAsia="ru-RU" w:bidi="ar-SA"/>
    </w:rPr>
  </w:style>
  <w:style w:type="paragraph" w:styleId="873">
    <w:name w:val="Основной текст"/>
    <w:basedOn w:val="857"/>
    <w:next w:val="873"/>
    <w:link w:val="874"/>
    <w:pPr>
      <w:jc w:val="both"/>
    </w:pPr>
    <w:rPr>
      <w:sz w:val="28"/>
    </w:rPr>
  </w:style>
  <w:style w:type="character" w:styleId="874">
    <w:name w:val="Основной текст Знак"/>
    <w:next w:val="874"/>
    <w:link w:val="873"/>
    <w:rPr>
      <w:sz w:val="28"/>
      <w:lang w:val="ru-RU" w:eastAsia="ru-RU" w:bidi="ar-SA"/>
    </w:rPr>
  </w:style>
  <w:style w:type="character" w:styleId="875">
    <w:name w:val="Номер страницы"/>
    <w:basedOn w:val="858"/>
    <w:next w:val="875"/>
    <w:link w:val="857"/>
  </w:style>
  <w:style w:type="paragraph" w:styleId="876">
    <w:name w:val="Нижний колонтитул"/>
    <w:basedOn w:val="857"/>
    <w:next w:val="876"/>
    <w:link w:val="877"/>
    <w:pPr>
      <w:tabs>
        <w:tab w:val="center" w:pos="4677" w:leader="none"/>
        <w:tab w:val="right" w:pos="9355" w:leader="none"/>
      </w:tabs>
    </w:pPr>
  </w:style>
  <w:style w:type="character" w:styleId="877">
    <w:name w:val="Нижний колонтитул Знак"/>
    <w:next w:val="877"/>
    <w:link w:val="876"/>
    <w:rPr>
      <w:rFonts w:ascii="Times New Roman" w:hAnsi="Times New Roman" w:eastAsia="Times New Roman"/>
    </w:rPr>
  </w:style>
  <w:style w:type="table" w:styleId="878">
    <w:name w:val="Сетка таблицы"/>
    <w:basedOn w:val="859"/>
    <w:next w:val="878"/>
    <w:link w:val="857"/>
    <w:tblPr/>
  </w:style>
  <w:style w:type="paragraph" w:styleId="879">
    <w:name w:val="Абзац списка1"/>
    <w:basedOn w:val="857"/>
    <w:next w:val="879"/>
    <w:link w:val="857"/>
    <w:pPr>
      <w:contextualSpacing/>
      <w:ind w:left="720"/>
    </w:pPr>
  </w:style>
  <w:style w:type="character" w:styleId="880">
    <w:name w:val="ConsPlusNormal Знак"/>
    <w:next w:val="880"/>
    <w:link w:val="862"/>
    <w:rPr>
      <w:rFonts w:cs="Calibri"/>
      <w:sz w:val="22"/>
    </w:rPr>
  </w:style>
  <w:style w:type="paragraph" w:styleId="881">
    <w:name w:val="ConsPlusDocList"/>
    <w:next w:val="881"/>
    <w:link w:val="857"/>
    <w:uiPriority w:val="99"/>
    <w:pPr>
      <w:widowControl w:val="off"/>
    </w:pPr>
    <w:rPr>
      <w:rFonts w:ascii="Courier New" w:hAnsi="Courier New" w:eastAsia="Times New Roman" w:cs="Courier New"/>
      <w:lang w:val="ru-RU" w:eastAsia="ru-RU" w:bidi="ar-SA"/>
    </w:rPr>
  </w:style>
  <w:style w:type="paragraph" w:styleId="882">
    <w:name w:val="Обычный (веб)"/>
    <w:basedOn w:val="857"/>
    <w:next w:val="882"/>
    <w:link w:val="857"/>
    <w:uiPriority w:val="99"/>
    <w:unhideWhenUsed/>
    <w:pPr>
      <w:spacing w:before="100" w:beforeAutospacing="1" w:after="100" w:afterAutospacing="1"/>
    </w:pPr>
    <w:rPr>
      <w:sz w:val="24"/>
      <w:szCs w:val="24"/>
    </w:rPr>
  </w:style>
  <w:style w:type="paragraph" w:styleId="883">
    <w:name w:val="ConsPlusNonformat"/>
    <w:next w:val="883"/>
    <w:link w:val="857"/>
    <w:pPr>
      <w:widowControl w:val="off"/>
    </w:pPr>
    <w:rPr>
      <w:rFonts w:ascii="Courier New" w:hAnsi="Courier New" w:eastAsia="Times New Roman" w:cs="Courier New"/>
      <w:lang w:val="ru-RU" w:eastAsia="ru-RU" w:bidi="ar-SA"/>
    </w:rPr>
  </w:style>
  <w:style w:type="paragraph" w:styleId="884">
    <w:name w:val="Рецензия"/>
    <w:next w:val="884"/>
    <w:link w:val="857"/>
    <w:hidden/>
    <w:uiPriority w:val="99"/>
    <w:semiHidden/>
    <w:rPr>
      <w:rFonts w:ascii="Times New Roman" w:hAnsi="Times New Roman" w:eastAsia="Times New Roman"/>
      <w:lang w:val="ru-RU" w:eastAsia="ru-RU" w:bidi="ar-SA"/>
    </w:rPr>
  </w:style>
  <w:style w:type="character" w:styleId="885" w:default="1">
    <w:name w:val="Default Paragraph Font"/>
    <w:uiPriority w:val="1"/>
    <w:semiHidden/>
    <w:unhideWhenUsed/>
  </w:style>
  <w:style w:type="numbering" w:styleId="886" w:default="1">
    <w:name w:val="No List"/>
    <w:uiPriority w:val="99"/>
    <w:semiHidden/>
    <w:unhideWhenUsed/>
  </w:style>
  <w:style w:type="table" w:styleId="887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yperlink" Target="http://10.12.1.46/cons/cgi/online.cgi?req=doc&amp;base=LAW&amp;n=486522&amp;dst=100008&amp;field=134&amp;date=03.03.2025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PNO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Попкова Анастасия Сергеевна</dc:creator>
  <cp:revision>11</cp:revision>
  <dcterms:created xsi:type="dcterms:W3CDTF">2023-07-21T09:22:00Z</dcterms:created>
  <dcterms:modified xsi:type="dcterms:W3CDTF">2025-04-02T05:07:38Z</dcterms:modified>
  <cp:version>917504</cp:version>
</cp:coreProperties>
</file>