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/>
        <w:rPr>
          <w:rFonts w:ascii="Times New Roman" w:hAnsi="Times New Roman" w:eastAsia="Times New Roman" w:cs="Times New Roman"/>
          <w:color w:val="auto"/>
          <w:lang w:bidi="ar-SA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color w:val="auto"/>
          <w:lang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5320"/>
                <wp:effectExtent l="0" t="0" r="0" b="0"/>
                <wp:docPr id="1" name="Рисунок 1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5245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6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auto"/>
          <w:lang w:bidi="ar-SA"/>
        </w:rPr>
        <w:t xml:space="preserve">                                                                  </w:t>
      </w:r>
      <w:r>
        <w:rPr>
          <w:rFonts w:ascii="Times New Roman" w:hAnsi="Times New Roman" w:eastAsia="Times New Roman" w:cs="Times New Roman"/>
          <w:color w:val="auto"/>
          <w:lang w:bidi="ar-SA"/>
        </w:rPr>
      </w:r>
      <w:r>
        <w:rPr>
          <w:rFonts w:ascii="Times New Roman" w:hAnsi="Times New Roman" w:eastAsia="Times New Roman" w:cs="Times New Roman"/>
          <w:color w:val="auto"/>
          <w:lang w:bidi="ar-SA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ascii="Times New Roman" w:hAnsi="Times New Roman" w:eastAsia="Times New Roman" w:cs="Times New Roman"/>
          <w:color w:val="auto"/>
          <w:lang w:bidi="ar-SA"/>
        </w:rPr>
      </w:r>
      <w:r>
        <w:rPr>
          <w:rFonts w:ascii="Times New Roman" w:hAnsi="Times New Roman" w:eastAsia="Times New Roman" w:cs="Times New Roman"/>
          <w:color w:val="auto"/>
          <w:lang w:bidi="ar-SA"/>
        </w:rPr>
      </w:r>
      <w:r>
        <w:rPr>
          <w:rFonts w:ascii="Times New Roman" w:hAnsi="Times New Roman" w:eastAsia="Times New Roman" w:cs="Times New Roman"/>
          <w:color w:val="auto"/>
          <w:lang w:bidi="ar-SA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  <w:t xml:space="preserve">МИНИСТЕРСТВО 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  <w:t xml:space="preserve">СТРОИТЕЛЬСТВА 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  <w:t xml:space="preserve">ПРИКАЗ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38"/>
        <w:gridCol w:w="4917"/>
      </w:tblGrid>
      <w:tr>
        <w:tblPrEx/>
        <w:trPr/>
        <w:tc>
          <w:tcPr>
            <w:tcW w:w="5068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  <w:u w:val="single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  <w:u w:val="single"/>
                <w:lang w:bidi="ar-SA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  <w:u w:val="single"/>
                <w:lang w:bidi="ar-SA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  <w:u w:val="single"/>
                <w:lang w:bidi="ar-SA"/>
              </w:rPr>
            </w:r>
          </w:p>
        </w:tc>
        <w:tc>
          <w:tcPr>
            <w:tcW w:w="506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  <w:u w:val="single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                                          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  <w:u w:val="single"/>
                <w:lang w:bidi="ar-SA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  <w:u w:val="single"/>
                <w:lang w:bidi="ar-SA"/>
              </w:rPr>
            </w:r>
          </w:p>
        </w:tc>
      </w:tr>
    </w:tbl>
    <w:p>
      <w:pPr>
        <w:jc w:val="center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г. Новосибирск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  <w:t xml:space="preserve">Об утверждении Программы профилактики рисков причинения вреда (ущерба) охраняемым законом ценностям на 202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  <w:t xml:space="preserve">5 год при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Новосибирской области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 31.07.2020 № 248 - ФЗ «О государственном контроле (надзоре) и муниципальном контроле в Российской Федерации»,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постановлением Правительства Российской Федерации от 25.06.2021 № 990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пунктом 1 Положения о министерстве строительства Новосибирской области, утвержденного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Правительства Новосибирской области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 02.10.2014 № 398-п «О министерстве строительства Новосибирской области»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70"/>
          <w:sz w:val="28"/>
          <w:szCs w:val="28"/>
          <w:shd w:val="clear" w:color="auto" w:fill="ffffff"/>
        </w:rPr>
        <w:t xml:space="preserve">приказываю</w:t>
      </w:r>
      <w:r>
        <w:rPr>
          <w:rFonts w:ascii="Times New Roman" w:hAnsi="Times New Roman" w:cs="Times New Roman"/>
          <w:spacing w:val="70"/>
          <w:sz w:val="28"/>
          <w:szCs w:val="28"/>
          <w:shd w:val="clear" w:color="auto" w:fill="ffffff"/>
        </w:rPr>
        <w:t xml:space="preserve">: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прилагаемую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Программу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bCs/>
          <w:sz w:val="28"/>
          <w:szCs w:val="28"/>
        </w:rPr>
        <w:t xml:space="preserve">5 год при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Программа).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  <w:t xml:space="preserve">2. Отделу информационного обеспечения (Ибрагимов Г.Г.) обеспечить размещение Программы на официальном сайте министерства строительства Новосибирской области в информационно 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  <w:t xml:space="preserve">–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  <w:t xml:space="preserve"> телекоммуникационной сети «Интернет» в течение 5 дней со дня принятия настоящего приказа.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r>
    </w:p>
    <w:p>
      <w:pPr>
        <w:contextualSpacing/>
        <w:ind w:firstLine="709"/>
        <w:jc w:val="both"/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исполнением настоящего приказа возложить на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начальника управления контроля в области долевого строительства и инженерного обеспечения министерства строительства Новосибирской области Тилилицина  Е.И.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r>
    </w:p>
    <w:p>
      <w:pPr>
        <w:ind w:left="20" w:right="20"/>
        <w:jc w:val="both"/>
        <w:spacing w:line="307" w:lineRule="exact"/>
        <w:rPr>
          <w:rFonts w:ascii="Times New Roman" w:hAnsi="Times New Roman" w:eastAsia="Times New Roman" w:cs="Times New Roman"/>
          <w:color w:val="auto"/>
          <w:spacing w:val="10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pacing w:val="10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pacing w:val="10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pacing w:val="10"/>
          <w:sz w:val="28"/>
          <w:szCs w:val="28"/>
        </w:rPr>
      </w:r>
    </w:p>
    <w:p>
      <w:pPr>
        <w:ind w:left="20" w:right="20"/>
        <w:jc w:val="both"/>
        <w:spacing w:line="307" w:lineRule="exact"/>
        <w:rPr>
          <w:rFonts w:ascii="Times New Roman" w:hAnsi="Times New Roman" w:eastAsia="Times New Roman" w:cs="Times New Roman"/>
          <w:color w:val="auto"/>
          <w:spacing w:val="10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pacing w:val="10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pacing w:val="10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pacing w:val="10"/>
          <w:sz w:val="28"/>
          <w:szCs w:val="28"/>
        </w:rPr>
      </w:r>
    </w:p>
    <w:p>
      <w:pPr>
        <w:ind w:left="20" w:right="20"/>
        <w:jc w:val="both"/>
        <w:spacing w:line="307" w:lineRule="exact"/>
        <w:rPr>
          <w:rFonts w:ascii="Times New Roman" w:hAnsi="Times New Roman" w:eastAsia="Times New Roman" w:cs="Times New Roman"/>
          <w:color w:val="auto"/>
          <w:spacing w:val="10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pacing w:val="10"/>
          <w:sz w:val="28"/>
          <w:szCs w:val="28"/>
        </w:rPr>
        <w:t xml:space="preserve">Министр                                                                                Д.Н. Богомолов</w:t>
      </w:r>
      <w:r>
        <w:rPr>
          <w:rFonts w:ascii="Times New Roman" w:hAnsi="Times New Roman" w:eastAsia="Times New Roman" w:cs="Times New Roman"/>
          <w:color w:val="auto"/>
          <w:spacing w:val="10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pacing w:val="10"/>
          <w:sz w:val="28"/>
          <w:szCs w:val="28"/>
        </w:rPr>
      </w:r>
    </w:p>
    <w:p>
      <w:pPr>
        <w:ind w:left="20" w:right="20"/>
        <w:jc w:val="both"/>
        <w:spacing w:line="307" w:lineRule="exact"/>
        <w:rPr>
          <w:rFonts w:ascii="Times New Roman" w:hAnsi="Times New Roman" w:eastAsia="Times New Roman" w:cs="Times New Roman"/>
          <w:color w:val="auto"/>
          <w:spacing w:val="10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pacing w:val="10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pacing w:val="10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pacing w:val="10"/>
          <w:sz w:val="28"/>
          <w:szCs w:val="28"/>
        </w:rPr>
      </w:r>
    </w:p>
    <w:p>
      <w:pPr>
        <w:ind w:left="5387"/>
        <w:jc w:val="center"/>
        <w:rPr>
          <w:rFonts w:ascii="Times New Roman" w:hAnsi="Times New Roman" w:eastAsia="Times New Roman" w:cs="Tahoma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eastAsia="Times New Roman" w:cs="Tahoma"/>
          <w:color w:val="auto"/>
          <w:sz w:val="28"/>
          <w:szCs w:val="28"/>
          <w:lang w:eastAsia="en-US" w:bidi="ar-SA"/>
        </w:rPr>
        <w:t xml:space="preserve">УТВЕРЖДЕН</w:t>
      </w:r>
      <w:r>
        <w:rPr>
          <w:rFonts w:ascii="Times New Roman" w:hAnsi="Times New Roman" w:eastAsia="Times New Roman" w:cs="Tahoma"/>
          <w:color w:val="auto"/>
          <w:sz w:val="28"/>
          <w:szCs w:val="28"/>
          <w:lang w:eastAsia="en-US" w:bidi="ar-SA"/>
        </w:rPr>
        <w:t xml:space="preserve">А</w:t>
      </w:r>
      <w:r>
        <w:rPr>
          <w:rFonts w:ascii="Times New Roman" w:hAnsi="Times New Roman" w:eastAsia="Times New Roman" w:cs="Tahoma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eastAsia="Times New Roman" w:cs="Tahoma"/>
          <w:color w:val="auto"/>
          <w:sz w:val="28"/>
          <w:szCs w:val="28"/>
          <w:lang w:eastAsia="en-US" w:bidi="ar-SA"/>
        </w:rPr>
      </w:r>
    </w:p>
    <w:p>
      <w:pPr>
        <w:ind w:left="5387"/>
        <w:jc w:val="center"/>
        <w:rPr>
          <w:rFonts w:ascii="Times New Roman" w:hAnsi="Times New Roman" w:eastAsia="Times New Roman" w:cs="Tahoma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eastAsia="Times New Roman" w:cs="Tahoma"/>
          <w:color w:val="auto"/>
          <w:sz w:val="28"/>
          <w:szCs w:val="28"/>
          <w:lang w:eastAsia="en-US" w:bidi="ar-SA"/>
        </w:rPr>
        <w:t xml:space="preserve">приказом </w:t>
      </w:r>
      <w:r>
        <w:rPr>
          <w:rFonts w:ascii="Times New Roman" w:hAnsi="Times New Roman" w:eastAsia="Times New Roman" w:cs="Tahoma"/>
          <w:color w:val="auto"/>
          <w:sz w:val="28"/>
          <w:szCs w:val="28"/>
          <w:lang w:eastAsia="en-US" w:bidi="ar-SA"/>
        </w:rPr>
        <w:t xml:space="preserve">м</w:t>
      </w:r>
      <w:r>
        <w:rPr>
          <w:rFonts w:ascii="Times New Roman" w:hAnsi="Times New Roman" w:eastAsia="Times New Roman" w:cs="Tahoma"/>
          <w:color w:val="auto"/>
          <w:sz w:val="28"/>
          <w:szCs w:val="28"/>
          <w:lang w:eastAsia="en-US" w:bidi="ar-SA"/>
        </w:rPr>
        <w:t xml:space="preserve">инистерства строительства</w:t>
      </w:r>
      <w:r>
        <w:rPr>
          <w:rFonts w:ascii="Times New Roman" w:hAnsi="Times New Roman" w:eastAsia="Times New Roman" w:cs="Tahoma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eastAsia="Times New Roman" w:cs="Tahoma"/>
          <w:color w:val="auto"/>
          <w:sz w:val="28"/>
          <w:szCs w:val="28"/>
          <w:lang w:eastAsia="en-US" w:bidi="ar-SA"/>
        </w:rPr>
      </w:r>
    </w:p>
    <w:p>
      <w:pPr>
        <w:ind w:left="5387"/>
        <w:jc w:val="center"/>
        <w:rPr>
          <w:rFonts w:ascii="Times New Roman" w:hAnsi="Times New Roman" w:eastAsia="Arial Unicode MS" w:cs="Times New Roman"/>
          <w:color w:val="auto"/>
          <w:sz w:val="28"/>
          <w:szCs w:val="28"/>
          <w:lang w:eastAsia="hi-IN" w:bidi="hi-IN"/>
        </w:rPr>
      </w:pPr>
      <w:r>
        <w:rPr>
          <w:rFonts w:ascii="Times New Roman" w:hAnsi="Times New Roman" w:eastAsia="Times New Roman" w:cs="Tahoma"/>
          <w:color w:val="auto"/>
          <w:sz w:val="28"/>
          <w:szCs w:val="28"/>
          <w:lang w:eastAsia="en-US" w:bidi="ar-SA"/>
        </w:rPr>
        <w:t xml:space="preserve">Новосибирской области</w:t>
      </w:r>
      <w:r>
        <w:rPr>
          <w:rFonts w:ascii="Times New Roman" w:hAnsi="Times New Roman" w:eastAsia="Arial Unicode MS" w:cs="Times New Roman"/>
          <w:color w:val="auto"/>
          <w:sz w:val="28"/>
          <w:szCs w:val="28"/>
          <w:lang w:eastAsia="hi-IN" w:bidi="hi-IN"/>
        </w:rPr>
      </w:r>
      <w:r>
        <w:rPr>
          <w:rFonts w:ascii="Times New Roman" w:hAnsi="Times New Roman" w:eastAsia="Arial Unicode MS" w:cs="Times New Roman"/>
          <w:color w:val="auto"/>
          <w:sz w:val="28"/>
          <w:szCs w:val="28"/>
          <w:lang w:eastAsia="hi-IN" w:bidi="hi-IN"/>
        </w:rPr>
      </w:r>
    </w:p>
    <w:p>
      <w:pPr>
        <w:ind w:left="5387"/>
        <w:jc w:val="center"/>
        <w:rPr>
          <w:rFonts w:ascii="Times New Roman" w:hAnsi="Times New Roman" w:eastAsia="Arial Unicode MS" w:cs="Times New Roman"/>
          <w:color w:val="auto"/>
          <w:sz w:val="28"/>
          <w:szCs w:val="28"/>
          <w:lang w:eastAsia="hi-IN" w:bidi="hi-IN"/>
        </w:rPr>
      </w:pPr>
      <w:r>
        <w:rPr>
          <w:rFonts w:ascii="Times New Roman" w:hAnsi="Times New Roman" w:eastAsia="Arial Unicode MS" w:cs="Times New Roman"/>
          <w:color w:val="auto"/>
          <w:sz w:val="28"/>
          <w:szCs w:val="28"/>
          <w:lang w:eastAsia="hi-IN" w:bidi="hi-IN"/>
        </w:rPr>
        <w:t xml:space="preserve">От               № </w:t>
      </w:r>
      <w:r>
        <w:rPr>
          <w:rFonts w:ascii="Times New Roman" w:hAnsi="Times New Roman" w:eastAsia="Arial Unicode MS" w:cs="Times New Roman"/>
          <w:color w:val="auto"/>
          <w:sz w:val="28"/>
          <w:szCs w:val="28"/>
          <w:lang w:eastAsia="hi-IN" w:bidi="hi-IN"/>
        </w:rPr>
      </w:r>
      <w:r>
        <w:rPr>
          <w:rFonts w:ascii="Times New Roman" w:hAnsi="Times New Roman" w:eastAsia="Arial Unicode MS" w:cs="Times New Roman"/>
          <w:color w:val="auto"/>
          <w:sz w:val="28"/>
          <w:szCs w:val="28"/>
          <w:lang w:eastAsia="hi-IN" w:bidi="hi-IN"/>
        </w:rPr>
      </w:r>
    </w:p>
    <w:p>
      <w:pPr>
        <w:pStyle w:val="978"/>
        <w:ind w:right="1"/>
        <w:jc w:val="center"/>
        <w:spacing w:before="0" w:line="240" w:lineRule="auto"/>
        <w:shd w:val="clear" w:color="auto" w:fill="auto"/>
        <w:tabs>
          <w:tab w:val="center" w:pos="9923" w:leader="none"/>
        </w:tabs>
      </w:pPr>
      <w:r/>
      <w:r/>
    </w:p>
    <w:p>
      <w:pPr>
        <w:pStyle w:val="978"/>
        <w:ind w:right="1"/>
        <w:jc w:val="center"/>
        <w:spacing w:before="0" w:line="240" w:lineRule="auto"/>
        <w:shd w:val="clear" w:color="auto" w:fill="auto"/>
        <w:tabs>
          <w:tab w:val="center" w:pos="9923" w:leader="none"/>
        </w:tabs>
      </w:pPr>
      <w:r/>
      <w:r/>
    </w:p>
    <w:p>
      <w:pPr>
        <w:ind w:firstLine="709"/>
        <w:jc w:val="center"/>
        <w:widowControl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white"/>
          <w:lang w:bidi="ar-SA"/>
        </w:rPr>
        <w:t xml:space="preserve">Программ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white"/>
          <w:lang w:bidi="ar-SA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white"/>
          <w:lang w:bidi="ar-SA"/>
        </w:rPr>
        <w:t xml:space="preserve"> профилактики рисков причинения вреда (ущерба) охраняемым законом ценностям на 202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white"/>
          <w:lang w:bidi="ar-SA"/>
        </w:rPr>
        <w:t xml:space="preserve">5 год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white"/>
          <w:lang w:bidi="ar-SA"/>
        </w:rPr>
        <w:t xml:space="preserve">при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Новосибирской области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white"/>
        </w:rPr>
      </w:r>
    </w:p>
    <w:p>
      <w:pPr>
        <w:ind w:firstLine="567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pStyle w:val="986"/>
        <w:ind w:left="0" w:firstLine="709"/>
        <w:jc w:val="both"/>
        <w:rPr>
          <w:rFonts w:ascii="Times New Roman" w:hAnsi="Times New Roman" w:cs="Times New Roman" w:eastAsiaTheme="minorEastAsia"/>
          <w:bCs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  <w:highlight w:val="white"/>
        </w:rPr>
        <w:t xml:space="preserve">Настоящая программа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highlight w:val="white"/>
        </w:rPr>
        <w:t xml:space="preserve">5 год при осуществлении </w:t>
      </w:r>
      <w:r>
        <w:rPr>
          <w:rFonts w:ascii="Times New Roman" w:hAnsi="Times New Roman" w:cs="Times New Roman" w:eastAsiaTheme="minorEastAsia"/>
          <w:iCs/>
          <w:color w:val="auto"/>
          <w:sz w:val="28"/>
          <w:szCs w:val="28"/>
          <w:highlight w:val="white"/>
        </w:rPr>
        <w:t xml:space="preserve">регионального государственного контроля (надзора) в области долевого строительства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Theme="minorEastAsia"/>
          <w:iCs/>
          <w:color w:val="auto"/>
          <w:sz w:val="28"/>
          <w:szCs w:val="28"/>
          <w:highlight w:val="white"/>
        </w:rPr>
        <w:t xml:space="preserve">многоквартирных домов и (или) иных объектов недвижимости на территории Новосибирской области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highlight w:val="white"/>
        </w:rPr>
        <w:t xml:space="preserve"> (далее - Программа) определяет мероприятия по профилактике рисков причинения вреда (ущерба) охраняемым законом ценностям в области долевого строительства многоквартирных домов и (или) иных объектов недвижимости на территории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highlight w:val="white"/>
        </w:rPr>
        <w:t xml:space="preserve"> Новосибирской области</w:t>
      </w:r>
      <w:r>
        <w:rPr>
          <w:rFonts w:ascii="Times New Roman" w:hAnsi="Times New Roman" w:cs="Times New Roman" w:eastAsiaTheme="minorEastAsia"/>
          <w:bCs/>
          <w:color w:val="auto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 w:eastAsiaTheme="minorEastAsia"/>
          <w:bCs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 w:eastAsiaTheme="minorEastAsia"/>
          <w:bCs/>
          <w:color w:val="auto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 w:eastAsiaTheme="minorEastAsia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  <w:highlight w:val="white"/>
          <w:lang w:bidi="ar-SA"/>
        </w:rPr>
      </w:r>
      <w:r>
        <w:rPr>
          <w:rFonts w:ascii="Times New Roman" w:hAnsi="Times New Roman" w:cs="Times New Roman" w:eastAsiaTheme="minorEastAsia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 w:eastAsiaTheme="minorEastAsia"/>
          <w:color w:val="auto"/>
          <w:sz w:val="28"/>
          <w:szCs w:val="28"/>
          <w:highlight w:val="white"/>
        </w:rPr>
      </w:r>
    </w:p>
    <w:p>
      <w:pPr>
        <w:pStyle w:val="986"/>
        <w:jc w:val="center"/>
        <w:rPr>
          <w:rFonts w:ascii="Times New Roman" w:hAnsi="Times New Roman" w:cs="Times New Roman" w:eastAsiaTheme="minorEastAsia"/>
          <w:b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highlight w:val="white"/>
        </w:rPr>
        <w:t xml:space="preserve">Раздел </w:t>
      </w:r>
      <w:r>
        <w:rPr>
          <w:rFonts w:ascii="Times New Roman" w:hAnsi="Times New Roman" w:cs="Times New Roman"/>
          <w:b/>
          <w:color w:val="auto"/>
          <w:sz w:val="28"/>
          <w:szCs w:val="28"/>
          <w:highlight w:val="white"/>
          <w:lang w:val="en-US"/>
        </w:rPr>
        <w:t xml:space="preserve">I</w:t>
      </w:r>
      <w:r>
        <w:rPr>
          <w:rFonts w:ascii="Times New Roman" w:hAnsi="Times New Roman" w:cs="Times New Roman"/>
          <w:b/>
          <w:color w:val="auto"/>
          <w:sz w:val="28"/>
          <w:szCs w:val="28"/>
          <w:highlight w:val="white"/>
        </w:rPr>
        <w:t xml:space="preserve">. </w:t>
      </w:r>
      <w:r>
        <w:rPr>
          <w:rFonts w:ascii="Times New Roman" w:hAnsi="Times New Roman" w:cs="Times New Roman"/>
          <w:b/>
          <w:color w:val="auto"/>
          <w:sz w:val="28"/>
          <w:szCs w:val="28"/>
          <w:highlight w:val="white"/>
        </w:rPr>
        <w:t xml:space="preserve">Анализ текущего состояния осуществления</w:t>
      </w:r>
      <w:r>
        <w:rPr>
          <w:rFonts w:ascii="Times New Roman" w:hAnsi="Times New Roman" w:cs="Times New Roman"/>
          <w:b/>
          <w:color w:val="auto"/>
          <w:sz w:val="28"/>
          <w:szCs w:val="28"/>
          <w:highlight w:val="white"/>
        </w:rPr>
        <w:t xml:space="preserve"> регионального</w:t>
      </w:r>
      <w:r>
        <w:rPr>
          <w:rFonts w:ascii="Times New Roman" w:hAnsi="Times New Roman" w:cs="Times New Roman"/>
          <w:b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white"/>
        </w:rPr>
        <w:t xml:space="preserve">контроля (надзора) в области долевого строительства многоквартирных домов и (или) иных объектов недвижимости на территории Новосибирской области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white"/>
        </w:rPr>
        <w:t xml:space="preserve">, связанной с привлечением денежных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white"/>
        </w:rPr>
        <w:t xml:space="preserve">участников долевого строительства</w:t>
      </w:r>
      <w:r>
        <w:rPr>
          <w:rFonts w:ascii="Times New Roman" w:hAnsi="Times New Roman" w:cs="Times New Roman"/>
          <w:b/>
          <w:color w:val="auto"/>
          <w:sz w:val="28"/>
          <w:szCs w:val="28"/>
          <w:highlight w:val="white"/>
        </w:rPr>
        <w:t xml:space="preserve">, описание текущего уровня </w:t>
      </w:r>
      <w:r>
        <w:rPr>
          <w:rFonts w:ascii="Times New Roman" w:hAnsi="Times New Roman" w:cs="Times New Roman"/>
          <w:b/>
          <w:color w:val="auto"/>
          <w:sz w:val="28"/>
          <w:szCs w:val="28"/>
          <w:highlight w:val="white"/>
        </w:rPr>
        <w:t xml:space="preserve">р</w:t>
      </w:r>
      <w:r>
        <w:rPr>
          <w:rFonts w:ascii="Times New Roman" w:hAnsi="Times New Roman" w:cs="Times New Roman"/>
          <w:b/>
          <w:color w:val="auto"/>
          <w:sz w:val="28"/>
          <w:szCs w:val="28"/>
          <w:highlight w:val="white"/>
        </w:rPr>
        <w:t xml:space="preserve">азвития профилактической деятельности контрольно</w:t>
      </w:r>
      <w:r>
        <w:rPr>
          <w:rFonts w:ascii="Times New Roman" w:hAnsi="Times New Roman" w:cs="Times New Roman"/>
          <w:b/>
          <w:color w:val="auto"/>
          <w:sz w:val="28"/>
          <w:szCs w:val="28"/>
          <w:highlight w:val="white"/>
        </w:rPr>
        <w:t xml:space="preserve">го (</w:t>
      </w:r>
      <w:r>
        <w:rPr>
          <w:rFonts w:ascii="Times New Roman" w:hAnsi="Times New Roman" w:cs="Times New Roman"/>
          <w:b/>
          <w:color w:val="auto"/>
          <w:sz w:val="28"/>
          <w:szCs w:val="28"/>
          <w:highlight w:val="white"/>
        </w:rPr>
        <w:t xml:space="preserve">надзорного</w:t>
      </w:r>
      <w:r>
        <w:rPr>
          <w:rFonts w:ascii="Times New Roman" w:hAnsi="Times New Roman" w:cs="Times New Roman"/>
          <w:b/>
          <w:color w:val="auto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b/>
          <w:color w:val="auto"/>
          <w:sz w:val="28"/>
          <w:szCs w:val="28"/>
          <w:highlight w:val="white"/>
        </w:rPr>
        <w:t xml:space="preserve"> органа, характеристика проблем, на решение которых направлена Программа</w:t>
      </w:r>
      <w:r>
        <w:rPr>
          <w:rFonts w:ascii="Times New Roman" w:hAnsi="Times New Roman" w:cs="Times New Roman" w:eastAsiaTheme="minorEastAsia"/>
          <w:b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 w:eastAsiaTheme="minorEastAsia"/>
          <w:b/>
          <w:color w:val="auto"/>
          <w:sz w:val="28"/>
          <w:szCs w:val="28"/>
          <w:highlight w:val="white"/>
        </w:rPr>
      </w:r>
    </w:p>
    <w:p>
      <w:pPr>
        <w:ind w:firstLine="567"/>
        <w:jc w:val="center"/>
        <w:widowControl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Предметом регионального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государственного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 контроля (надзора) в  области долевого строительства многоквартирных домов и (или) иных объектов недвижимости является соблюдение лицами, привлекающими денежные средства участников долевого строительства для строительства (создания) многоквартирных домов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и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(или) иных объектов недвижимости (далее – контролируемые лица), обязательных требований, установленных Федеральным законом № 214-ФЗ и принятыми в соответствии с ним иными нормативными правовыми актами Российской Федерации (далее – обязательные требования).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В марте 2022 года в целях снижения административной нагрузки на хозяйствующие субъекты Правительством Российской Федерации принято 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п</w:t>
      </w:r>
      <w:r>
        <w:rPr>
          <w:highlight w:val="white"/>
        </w:rPr>
        <w:fldChar w:fldCharType="begin"/>
      </w:r>
      <w:r>
        <w:rPr>
          <w:highlight w:val="white"/>
        </w:rPr>
        <w:instrText xml:space="preserve"> HYPERLINK "consultantplus://offline/ref=BDF7FD24B5C3F1F2372B6C31F1DAB925E3B355C8C6FBCFB5CB24F033132FFF972B468AA4CBA89D8499137E71E7M0e8H" </w:instrText>
      </w:r>
      <w:r>
        <w:rPr>
          <w:highlight w:val="white"/>
        </w:rPr>
        <w:fldChar w:fldCharType="separate"/>
      </w:r>
      <w:r>
        <w:rPr>
          <w:rStyle w:val="955"/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  <w:lang w:bidi="ar-SA"/>
        </w:rPr>
        <w:t xml:space="preserve">остановление</w:t>
      </w:r>
      <w:r>
        <w:rPr>
          <w:rStyle w:val="955"/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  <w:lang w:bidi="ar-SA"/>
        </w:rPr>
        <w:fldChar w:fldCharType="end"/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 Правительства РФ от 10.03.2022 № 336 «Об особенностях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организации и осуществления государственного контроля (надзора), муниципального контроля» (далее - Постановление № 336).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Положениями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П</w:t>
      </w:r>
      <w:r>
        <w:rPr>
          <w:highlight w:val="white"/>
        </w:rPr>
        <w:fldChar w:fldCharType="begin"/>
      </w:r>
      <w:r>
        <w:rPr>
          <w:highlight w:val="white"/>
        </w:rPr>
        <w:instrText xml:space="preserve"> HYPERLINK "consultantplus://offline/ref=BDF7FD24B5C3F1F2372B6C31F1DAB925E3B355C8C6FBCFB5CB24F033132FFF972B468AA4CBA89D8499137E71E7M0e8H" </w:instrText>
      </w:r>
      <w:r>
        <w:rPr>
          <w:highlight w:val="white"/>
        </w:rPr>
        <w:fldChar w:fldCharType="separate"/>
      </w:r>
      <w:r>
        <w:rPr>
          <w:rStyle w:val="955"/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  <w:lang w:bidi="ar-SA"/>
        </w:rPr>
        <w:t xml:space="preserve">остановления</w:t>
      </w:r>
      <w:r>
        <w:rPr>
          <w:rStyle w:val="955"/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  <w:lang w:bidi="ar-SA"/>
        </w:rPr>
        <w:fldChar w:fldCharType="end"/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 № 336 установлены особенности осуществления видов государственного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контроля (надзора), муниципального контроля, к организации и осуществлению которых применяются положения Федерального закона от 31.07.2020 № 248-ФЗ «О государственном кон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троле (надзоре).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Так, Постановлением №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 33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6 до конца 202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4 года введен мораторий на проведение плановых к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онтрольных (надзорных) мероприятий (далее - КНМ), за исключением отдельных объектов контроля чрезвычайного высокого риска, и опасных производственных объектов по некоторым видам контроля (надзора), а также введены ограничения на проведения внеплановых КНМ.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bCs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highlight w:val="white"/>
          <w:lang w:bidi="ar-SA"/>
        </w:rPr>
        <w:t xml:space="preserve">Положения Постановления № 336 допускают проведение профилактических мероприятий. 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highlight w:val="white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bCs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highlight w:val="white"/>
          <w:lang w:bidi="ar-SA"/>
        </w:rPr>
        <w:t xml:space="preserve">Профилактические мероприятия направлены на повышение информированности предпринимательского сообщества о способах  соблюдения обязательных требований законодательства, а также устранение условий, причин и факторов, способных привести к их нарушению.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highlight w:val="white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highlight w:val="white"/>
          <w:lang w:bidi="ar-SA"/>
        </w:rPr>
        <w:t xml:space="preserve">В настоящее время министерством проводятся: профилактические визиты в форме профилактической беседы по месту осуществления деятельности контролируемого лица, в ходе которых контролируемое лицо информируется об обязательных требованиях, предъявляе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highlight w:val="white"/>
          <w:lang w:bidi="ar-SA"/>
        </w:rPr>
        <w:t xml:space="preserve">мых к его деятельности,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highlight w:val="white"/>
          <w:lang w:bidi="ar-SA"/>
        </w:rPr>
        <w:t xml:space="preserve">;  мероприятия по региональному государственному контролю (надзору) в области долевого строительства многоквартирных домов и (или) иных объектов недвижимости без взаимодействия с контролируемым лицом. 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highlight w:val="white"/>
          <w:lang w:bidi="ar-SA"/>
        </w:rPr>
        <w:t xml:space="preserve">По состоянию на 01.09.2024 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highlight w:val="white"/>
          <w:lang w:bidi="ar-SA"/>
        </w:rPr>
        <w:t xml:space="preserve"> проведено 126 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highlight w:val="white"/>
          <w:lang w:bidi="ar-SA"/>
        </w:rPr>
        <w:t xml:space="preserve">контрольно -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highlight w:val="white"/>
          <w:lang w:bidi="ar-SA"/>
        </w:rPr>
        <w:t xml:space="preserve"> надзорных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highlight w:val="white"/>
          <w:lang w:bidi="ar-SA"/>
        </w:rPr>
        <w:t xml:space="preserve"> и профилактических мероприятий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highlight w:val="white"/>
          <w:lang w:bidi="ar-SA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bCs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highlight w:val="white"/>
          <w:lang w:bidi="ar-SA"/>
        </w:rPr>
        <w:t xml:space="preserve">По состоянию на 23.09.2024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highlight w:val="white"/>
          <w:lang w:bidi="ar-SA"/>
        </w:rPr>
        <w:t xml:space="preserve"> на контроле министерства находится 651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highlight w:val="white"/>
          <w:lang w:bidi="ar-SA"/>
        </w:rPr>
        <w:t xml:space="preserve"> 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highlight w:val="white"/>
          <w:lang w:bidi="ar-SA"/>
        </w:rPr>
        <w:t xml:space="preserve">многоквартирны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highlight w:val="white"/>
          <w:lang w:bidi="ar-SA"/>
        </w:rPr>
        <w:t xml:space="preserve">й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highlight w:val="white"/>
          <w:lang w:bidi="ar-SA"/>
        </w:rPr>
        <w:t xml:space="preserve"> дом, строительство которых осуществляется застройщиками с привлечением денежных средств участников долевого строительства.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highlight w:val="white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bCs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highlight w:val="white"/>
          <w:lang w:bidi="ar-SA"/>
        </w:rPr>
        <w:t xml:space="preserve">При этом строительство лишь 19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highlight w:val="white"/>
          <w:lang w:bidi="ar-SA"/>
        </w:rPr>
        <w:t xml:space="preserve"> 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highlight w:val="white"/>
          <w:lang w:bidi="ar-SA"/>
        </w:rPr>
        <w:t xml:space="preserve">многоквартирных домов ведется застройщиками путем привлечения денежных средств участников долевого строительства без размещения этих средств на счетах 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highlight w:val="white"/>
          <w:lang w:bidi="ar-SA"/>
        </w:rPr>
        <w:t xml:space="preserve">эскроу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highlight w:val="white"/>
          <w:lang w:bidi="ar-SA"/>
        </w:rPr>
        <w:t xml:space="preserve">.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highlight w:val="white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Основными проблемами являются несоблюдение контролируемыми лицами обязательных требований, а также неисполнение решений, принимаемых министерством по результатам контрольных (надзорных) мероприятий.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Программа предусматривает проведение министерством строительства Новосибирской области (далее - министерство) профилактических мероприятий, направленных на предупреждение нарушений 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бязательных требований, предусмотренных: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1) Федеральным законом № 214-ФЗ;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2) </w:t>
      </w:r>
      <w:hyperlink r:id="rId13" w:tooltip="Постановление Правительства РФ от 26.03.2019 N 319 (ред. от 28.08.2019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" w:history="1">
        <w:r>
          <w:rPr>
            <w:rStyle w:val="955"/>
            <w:rFonts w:ascii="Times New Roman" w:hAnsi="Times New Roman" w:eastAsia="Times New Roman" w:cs="Times New Roman"/>
            <w:color w:val="auto"/>
            <w:sz w:val="28"/>
            <w:szCs w:val="28"/>
            <w:highlight w:val="white"/>
            <w:u w:val="none"/>
            <w:lang w:bidi="ar-SA"/>
          </w:rPr>
          <w:t xml:space="preserve">постановление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 Правительства Российской Федерации от 26.03.2019 № 319 «О единой информационной системе жилищного строительства»;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3) </w:t>
      </w:r>
      <w:hyperlink r:id="rId14" w:tooltip="Постановление Правительства РФ от 26.12.2018 N 1683 (ред. от 13.03.2019) &quot;О нормативах финансовой устойчивости деятельности застройщика&quot; (вместе с &quot;Положением о нормативах финансовой устойчивости деятельности застройщика&quot;){КонсультантПлюс}" w:history="1">
        <w:r>
          <w:rPr>
            <w:rStyle w:val="955"/>
            <w:rFonts w:ascii="Times New Roman" w:hAnsi="Times New Roman" w:eastAsia="Times New Roman" w:cs="Times New Roman"/>
            <w:color w:val="auto"/>
            <w:sz w:val="28"/>
            <w:szCs w:val="28"/>
            <w:highlight w:val="white"/>
            <w:u w:val="none"/>
            <w:lang w:bidi="ar-SA"/>
          </w:rPr>
          <w:t xml:space="preserve">постановление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 Правительства Российской Федерации от 26.12.2018 №1683 «О нормативах финансовой устойчивости деятельности застройщика»;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4) </w:t>
      </w:r>
      <w:hyperlink r:id="rId15" w:tooltip="Приказ Минстроя России от 12.10.2018 N 656/пр &quot;Об утверждении формы и порядка предоставления застройщиками в контролирующий орган отчетности об осуществлении деятельности, связанной с привлечением денежных средств участников долевого строительства для строител" w:history="1">
        <w:r>
          <w:rPr>
            <w:rStyle w:val="955"/>
            <w:rFonts w:ascii="Times New Roman" w:hAnsi="Times New Roman" w:eastAsia="Times New Roman" w:cs="Times New Roman"/>
            <w:color w:val="auto"/>
            <w:sz w:val="28"/>
            <w:szCs w:val="28"/>
            <w:highlight w:val="white"/>
            <w:u w:val="none"/>
            <w:lang w:bidi="ar-SA"/>
          </w:rPr>
          <w:t xml:space="preserve">п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риказом Министерства строительства и жилищно-коммунального хозяйства Российской Федерации от 12.10.2018 № 656/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пр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 «Об утверждении формы и порядка предоставления застройщиками в контролирующий орган отчетности об осуществлении деятельности, связанной с привлечением денежных средств участников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долевого строительства для строительства (создания) многоквартирных домов и (или) иных объектов недвижимости, в том числе об исполнении примерных графиков реализации проектов строительства и своих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обязательств по договорам, сводной накопительной 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едомости проекта строительства»;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5) п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highlight w:val="white"/>
        </w:rPr>
        <w:t xml:space="preserve">риказом Минстроя России от 04.04.2022 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highlight w:val="white"/>
        </w:rPr>
        <w:t xml:space="preserve">№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highlight w:val="white"/>
        </w:rPr>
        <w:t xml:space="preserve"> 239/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highlight w:val="white"/>
        </w:rPr>
        <w:t xml:space="preserve">пр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highlight w:val="white"/>
        </w:rPr>
        <w:t xml:space="preserve">  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highlight w:val="white"/>
        </w:rPr>
        <w:t xml:space="preserve">Об утверждении формы проектной декларации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Основными направлениями деятельности министерства как субъекта профилактики нарушений законодательства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 в области долевого строительства в рамках своей компетенции явля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ю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тся: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1) мониторинг законодательства в области долевого строительства и его изменений;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2) определение преобладающих видов нарушений застройщиками требований законодательства в области долевого строительства;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3) определение приоритетных направлений профилактики правонарушений с учетом складывающейся ситуации в области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долевого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 строительства;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4) планирование в сфере профилактики правонарушений с учетом фундаментальных изменений законодательства в области долевого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 строительства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5) размещение на сайте министерства перечней нормативных правовых актов или их отдельных частей, содержащих обязательные требования, оценка с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облюдения которых является предметом контроля (надзора), а также текстов соответствующих нормативных правовых актов; информации о проведенных проверках деятельности застройщика, за исключением сведений, доступ к которым органичен законодательством Российск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ой Федерации, а также сведений о вступивших в законную силу постановлениях контролирующего органа о привлечении застройщика, его должностных лиц к административной ответственности за нарушение требований законодательства об участии в долевом строительстве.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В рамках основных направлений деятельности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министерством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осуществляется анализ ситуации в области строительства, информирование правоохранительных органов и прокуратуры о предпосыл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ках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 возникновения ситуаций с нарушениями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застройщик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ами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прав участников строительства.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pStyle w:val="986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white"/>
        </w:rPr>
        <w:t xml:space="preserve">Раздел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white"/>
        </w:rPr>
        <w:t xml:space="preserve">II. Цели и задачи реализации Программы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978"/>
        <w:ind w:left="567" w:firstLine="709"/>
        <w:jc w:val="both"/>
        <w:spacing w:before="0" w:line="310" w:lineRule="exact"/>
        <w:shd w:val="clear" w:color="auto" w:fill="auto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jc w:val="both"/>
        <w:spacing w:line="310" w:lineRule="exact"/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pacing w:val="10"/>
          <w:sz w:val="28"/>
          <w:szCs w:val="28"/>
          <w:highlight w:val="white"/>
        </w:rPr>
        <w:t xml:space="preserve">Ц</w:t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  <w:highlight w:val="white"/>
        </w:rPr>
        <w:t xml:space="preserve">елями  реализации Программы являются:</w:t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  <w:highlight w:val="white"/>
        </w:rPr>
      </w:r>
    </w:p>
    <w:p>
      <w:pPr>
        <w:contextualSpacing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bidi="ar-SA"/>
        </w:rPr>
        <w:t xml:space="preserve">1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) стимулирование добросовестного соблюдения обязательных требований всеми контролируемыми лицами;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contextualSpacing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contextualSpacing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3) создание условий для доведения обязательных требований до контролируемых лиц, повышение информированности о способах их соблюдения.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  <w:highlight w:val="white"/>
        </w:rPr>
        <w:t xml:space="preserve">Задачами реализации Программы являются:</w:t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  <w:highlight w:val="white"/>
        </w:rPr>
      </w:r>
    </w:p>
    <w:p>
      <w:pPr>
        <w:contextualSpacing/>
        <w:ind w:right="20" w:firstLine="709"/>
        <w:jc w:val="both"/>
        <w:spacing w:line="310" w:lineRule="exact"/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  <w:highlight w:val="white"/>
        </w:rPr>
        <w:t xml:space="preserve">1) выявление причин и условий, способствующих нарушению обязательных требований, определение способов устранения или снижения рисков и их реализация;</w:t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  <w:highlight w:val="white"/>
        </w:rPr>
      </w:r>
    </w:p>
    <w:p>
      <w:pPr>
        <w:contextualSpacing/>
        <w:ind w:right="20" w:firstLine="709"/>
        <w:jc w:val="both"/>
        <w:spacing w:line="310" w:lineRule="exact"/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  <w:highlight w:val="white"/>
        </w:rPr>
        <w:t xml:space="preserve">2) регулярный мониторинг обязательных требований и принятие мер к соблюдению обязательных требований;</w:t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  <w:highlight w:val="white"/>
        </w:rPr>
      </w:r>
    </w:p>
    <w:p>
      <w:pPr>
        <w:contextualSpacing/>
        <w:ind w:right="20" w:firstLine="709"/>
        <w:jc w:val="both"/>
        <w:spacing w:line="310" w:lineRule="exact"/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  <w:highlight w:val="white"/>
        </w:rPr>
        <w:t xml:space="preserve">3) повышение уровня правовой грамотности и формирование единообразного понимания обязательных требований в соответствующей сфере у всех участников контрольно-надзорной деятельности;</w:t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  <w:highlight w:val="white"/>
        </w:rPr>
        <w:t xml:space="preserve">4) создание условий для изменения ценностного отношения подконтрольных субъектов к поведению в нормативной среде, для формирования позитивной ответственности за свое поведение, поддержания мотивации к добросовестному поведению;</w:t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  <w:highlight w:val="white"/>
        </w:rPr>
      </w:r>
    </w:p>
    <w:p>
      <w:pPr>
        <w:contextualSpacing/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5) вовлечение в деятельность по предупреждению нарушений законодательства в области долевого строительства граждан и организаций.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ind w:left="20" w:firstLine="709"/>
        <w:jc w:val="center"/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  <w:highlight w:val="white"/>
        </w:rPr>
      </w:r>
    </w:p>
    <w:p>
      <w:pPr>
        <w:pStyle w:val="986"/>
        <w:ind w:right="140" w:firstLine="709"/>
        <w:jc w:val="center"/>
        <w:spacing w:line="240" w:lineRule="exact"/>
        <w:rPr>
          <w:rFonts w:ascii="Times New Roman" w:hAnsi="Times New Roman" w:eastAsia="Times New Roman" w:cs="Times New Roman"/>
          <w:b/>
          <w:bCs/>
          <w:color w:val="auto"/>
          <w:spacing w:val="5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auto"/>
          <w:spacing w:val="5"/>
          <w:sz w:val="28"/>
          <w:szCs w:val="28"/>
          <w:highlight w:val="white"/>
        </w:rPr>
        <w:t xml:space="preserve">Раздел </w:t>
      </w:r>
      <w:r>
        <w:rPr>
          <w:rFonts w:ascii="Times New Roman" w:hAnsi="Times New Roman" w:eastAsia="Times New Roman" w:cs="Times New Roman"/>
          <w:b/>
          <w:bCs/>
          <w:color w:val="auto"/>
          <w:spacing w:val="5"/>
          <w:sz w:val="28"/>
          <w:szCs w:val="28"/>
          <w:highlight w:val="white"/>
          <w:lang w:val="en-US"/>
        </w:rPr>
        <w:t xml:space="preserve">II</w:t>
      </w:r>
      <w:r>
        <w:rPr>
          <w:rFonts w:ascii="Times New Roman" w:hAnsi="Times New Roman" w:eastAsia="Times New Roman" w:cs="Times New Roman"/>
          <w:b/>
          <w:bCs/>
          <w:color w:val="auto"/>
          <w:spacing w:val="5"/>
          <w:sz w:val="28"/>
          <w:szCs w:val="28"/>
          <w:highlight w:val="white"/>
        </w:rPr>
        <w:t xml:space="preserve">I</w:t>
      </w:r>
      <w:r>
        <w:rPr>
          <w:rFonts w:ascii="Times New Roman" w:hAnsi="Times New Roman" w:eastAsia="Times New Roman" w:cs="Times New Roman"/>
          <w:b/>
          <w:bCs/>
          <w:color w:val="auto"/>
          <w:spacing w:val="5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auto"/>
          <w:spacing w:val="5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auto"/>
          <w:spacing w:val="5"/>
          <w:sz w:val="28"/>
          <w:szCs w:val="28"/>
          <w:highlight w:val="white"/>
        </w:rPr>
        <w:t xml:space="preserve">Перечень профилактических мероприятий, сроки</w:t>
      </w:r>
      <w:r>
        <w:rPr>
          <w:rFonts w:ascii="Times New Roman" w:hAnsi="Times New Roman" w:eastAsia="Times New Roman" w:cs="Times New Roman"/>
          <w:b/>
          <w:bCs/>
          <w:color w:val="auto"/>
          <w:spacing w:val="5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auto"/>
          <w:spacing w:val="5"/>
          <w:sz w:val="28"/>
          <w:szCs w:val="28"/>
          <w:highlight w:val="white"/>
        </w:rPr>
      </w:r>
    </w:p>
    <w:p>
      <w:pPr>
        <w:pStyle w:val="986"/>
        <w:ind w:right="140" w:firstLine="709"/>
        <w:jc w:val="center"/>
        <w:spacing w:line="240" w:lineRule="exact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auto"/>
          <w:spacing w:val="5"/>
          <w:sz w:val="28"/>
          <w:szCs w:val="28"/>
          <w:highlight w:val="white"/>
        </w:rPr>
        <w:t xml:space="preserve">(периодичность) их проведения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r>
    </w:p>
    <w:p>
      <w:pPr>
        <w:pStyle w:val="986"/>
        <w:ind w:right="140" w:firstLine="709"/>
        <w:spacing w:line="240" w:lineRule="exact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r>
    </w:p>
    <w:p>
      <w:pPr>
        <w:pStyle w:val="986"/>
        <w:ind w:left="0" w:right="1" w:firstLine="709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r>
    </w:p>
    <w:tbl>
      <w:tblPr>
        <w:tblW w:w="9781" w:type="dxa"/>
        <w:tblInd w:w="108" w:type="dxa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3686"/>
        <w:gridCol w:w="2552"/>
        <w:gridCol w:w="170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</w:p>
          <w:p>
            <w:pPr>
              <w:spacing w:line="0" w:lineRule="atLeast"/>
              <w:widowControl/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highlight w:val="white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/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  <w:lang w:bidi="ar-SA"/>
              </w:rPr>
              <w:t xml:space="preserve">Вид мероприятия</w:t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86" w:type="dxa"/>
            <w:textDirection w:val="lrTb"/>
            <w:noWrap w:val="false"/>
          </w:tcPr>
          <w:p>
            <w:pPr>
              <w:ind w:firstLine="36"/>
              <w:jc w:val="center"/>
              <w:spacing w:line="0" w:lineRule="atLeast"/>
              <w:widowControl/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  <w:lang w:bidi="ar-SA"/>
              </w:rPr>
              <w:t xml:space="preserve">Форма мероприятия</w:t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  <w:lang w:bidi="ar-SA"/>
              </w:rPr>
              <w:t xml:space="preserve">Подразделение и (или) должностные лица ответственные за реализацию мероприятия</w:t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</w:p>
          <w:p>
            <w:pPr>
              <w:spacing w:line="0" w:lineRule="atLeast"/>
              <w:widowControl/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highlight w:val="white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widowControl/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  <w:lang w:bidi="ar-SA"/>
              </w:rPr>
              <w:t xml:space="preserve">Сроки (периодичность) их проведения</w:t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</w:p>
          <w:p>
            <w:pPr>
              <w:spacing w:line="0" w:lineRule="atLeast"/>
              <w:widowControl/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highlight w:val="white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Merge w:val="restart"/>
            <w:textDirection w:val="lrTb"/>
            <w:noWrap w:val="false"/>
          </w:tcPr>
          <w:p>
            <w:pPr>
              <w:ind w:firstLine="8"/>
              <w:jc w:val="both"/>
              <w:spacing w:line="0" w:lineRule="atLeast"/>
              <w:widowControl/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Информирование</w:t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86" w:type="dxa"/>
            <w:textDirection w:val="lrTb"/>
            <w:noWrap w:val="false"/>
          </w:tcPr>
          <w:p>
            <w:pPr>
              <w:jc w:val="both"/>
              <w:spacing w:line="0" w:lineRule="atLeast"/>
              <w:widowControl/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Проведение публичных мероприятий (собраний, совещаний, семинаров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, докладов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) с контролируемыми лицами в целях их информирования</w:t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both"/>
              <w:spacing w:line="0" w:lineRule="atLeast"/>
              <w:widowControl/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Отдел государственного контроля в области долевого строительства и отдел анализа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в области долевого строительства.</w:t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Ежегодно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, по мере необходимости</w:t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</w:p>
        </w:tc>
      </w:tr>
      <w:tr>
        <w:tblPrEx/>
        <w:trPr>
          <w:trHeight w:val="31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86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Размещение и поддержание в актуальном состоян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ии на официальном сайт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  <w:lang w:bidi="ar-SA"/>
              </w:rPr>
              <w:t xml:space="preserve">е в сети «Интернет»  информации, перечень  которой предусмотрен п. 2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  <w:lang w:bidi="ar-SA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  <w:lang w:bidi="ar-SA"/>
              </w:rPr>
              <w:t xml:space="preserve">  Положения о региональном  государственном контроле (надзоре) в области долевого строительства многоквартирных домов и (или) иных объектов недвижимости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Отдел государственного контроля в области долевого строительства и отдел анализа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 в области долевого строительства.</w:t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Ежегодно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не позднее одного месяца со дня вступления в силу нормативного правового акта, которым предусмотрены обязательные требования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</w:p>
          <w:p>
            <w:pPr>
              <w:widowControl/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highlight w:val="white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</w:p>
        </w:tc>
      </w:tr>
      <w:tr>
        <w:tblPrEx/>
        <w:trPr>
          <w:trHeight w:val="1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ind w:firstLine="34"/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Обобщение правоприменительной практики</w:t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86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Обобщение и анализ правоприменительной практики контрольно-надзорной деятельности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классификацией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 причин возникновения типовых нарушений обязательных требований и размещение утвержденного доклада о правоприменительной практике на официальном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сайте,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 с возможностью дальнейшего распространения в средствах массовой информации,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 а также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информирование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 общественн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 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 при министерстве строительства Новосибирской области</w:t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Отдел государственного контроля в области долевого строительства и отдел анализа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в области долевого строительства.</w:t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В срок до 01.04.202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</w:p>
        </w:tc>
      </w:tr>
      <w:tr>
        <w:tblPrEx/>
        <w:trPr>
          <w:trHeight w:val="25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both"/>
              <w:spacing w:line="0" w:lineRule="atLeast"/>
              <w:widowControl/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both"/>
              <w:spacing w:line="0" w:lineRule="atLeast"/>
              <w:widowControl/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Объявление предостережения </w:t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86" w:type="dxa"/>
            <w:textDirection w:val="lrTb"/>
            <w:noWrap w:val="false"/>
          </w:tcPr>
          <w:p>
            <w:pPr>
              <w:jc w:val="both"/>
              <w:spacing w:line="0" w:lineRule="atLeast"/>
              <w:widowControl/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Объявление предостережений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 о недопустимости нарушения обязательных требований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 контролируемым лицам для целей принятия мер по обеспечению соблюдения обязательных требований</w:t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both"/>
              <w:spacing w:line="0" w:lineRule="atLeast"/>
              <w:widowControl/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Отдел государственного контроля в области долевого строительства и отдел анализа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в области долевого строительства.</w:t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В течение года в случае нарушения обязательных требований, при наличии оснований в соответствии с ч.1 ст.49 ФЗ № 248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</w:p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highlight w:val="white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</w:p>
          <w:p>
            <w:pPr>
              <w:spacing w:line="0" w:lineRule="atLeast"/>
              <w:widowControl/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highlight w:val="white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</w:p>
        </w:tc>
      </w:tr>
      <w:tr>
        <w:tblPrEx/>
        <w:trPr>
          <w:trHeight w:val="29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ind w:firstLine="34"/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Консультирование</w:t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86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Проведение должностными лицами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консультаций.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</w:p>
          <w:p>
            <w:pPr>
              <w:jc w:val="both"/>
              <w:widowControl/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Консультирование по вопросам, связан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ным с организацией и осуществлением регионального государственного контроля, порядком обжалования решений Министерства, действий (бездействия) его должностных лиц, порядком подачи возражений на предостережение о недопустимости нарушения обязательных требов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аний, применения положений действующего законодательства, возникающих у контролируемого 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иц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  <w:lang w:bidi="ar-SA"/>
              </w:rPr>
              <w:t xml:space="preserve">порядке, установлен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  <w:lang w:bidi="ar-SA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  <w:lang w:bidi="ar-SA"/>
              </w:rPr>
              <w:t xml:space="preserve">ом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  <w:lang w:bidi="ar-SA"/>
              </w:rPr>
              <w:t xml:space="preserve"> Федеральным </w:t>
            </w:r>
            <w:hyperlink r:id="rId16" w:tooltip="about:blank" w:history="1">
              <w:r>
                <w:rPr>
                  <w:rStyle w:val="955"/>
                  <w:rFonts w:ascii="Times New Roman" w:hAnsi="Times New Roman" w:eastAsia="Times New Roman" w:cs="Times New Roman"/>
                  <w:color w:val="auto"/>
                  <w:sz w:val="22"/>
                  <w:szCs w:val="22"/>
                  <w:highlight w:val="white"/>
                  <w:u w:val="none"/>
                  <w:lang w:bidi="ar-SA"/>
                </w:rPr>
                <w:t xml:space="preserve">законом</w:t>
              </w:r>
            </w:hyperlink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  <w:lang w:bidi="ar-SA"/>
              </w:rPr>
              <w:t xml:space="preserve"> № 59-ФЗ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  <w:lang w:bidi="ar-SA"/>
              </w:rPr>
              <w:t xml:space="preserve"> от 02.05.2006 «О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</w:p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highlight w:val="white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Отдел государственного контроля в области долевого строительства и отдел анализа</w:t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По мере поступления обращений в срок до 30 календарных дней со дня поступления обращений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</w:p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highlight w:val="white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</w:p>
        </w:tc>
      </w:tr>
      <w:tr>
        <w:tblPrEx/>
        <w:trPr>
          <w:trHeight w:val="39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Профилактический визит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</w:p>
          <w:p>
            <w:pPr>
              <w:ind w:firstLine="34"/>
              <w:jc w:val="both"/>
              <w:widowControl/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(обязательный профилактический визит)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</w:p>
          <w:p>
            <w:pPr>
              <w:ind w:firstLine="34"/>
              <w:jc w:val="both"/>
              <w:widowControl/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86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целях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обеспечения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проведения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  профилактических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визитов контролируемым лицам направляются уведомления о проведении профилактических визитов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Если проведение профилактического визита, проводимого путем использования видео-конференц-связи, в установленный день оказалось невозможным по техническим или иным причинам, профилактический визит переносится на иную дату.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</w:p>
          <w:p>
            <w:pPr>
              <w:jc w:val="both"/>
              <w:widowControl/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Контролируемому лицу разъясняются обязательные требования действующего законодательства и необходимость их соблюдения. 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</w:p>
          <w:p>
            <w:pPr>
              <w:jc w:val="both"/>
              <w:widowControl/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Отдел государственного контроля в области долевого строительства и отдел анализа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 в области долевого строительства.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Обязательный профилактический визит осуществляется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не позднее чем в течение одного года с момента начала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  <w:t xml:space="preserve">деятельности.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</w:p>
          <w:p>
            <w:pPr>
              <w:jc w:val="both"/>
              <w:widowControl/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</w:p>
        </w:tc>
      </w:tr>
    </w:tbl>
    <w:p>
      <w:pPr>
        <w:pStyle w:val="986"/>
        <w:ind w:left="0" w:right="1" w:firstLine="709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r>
    </w:p>
    <w:p>
      <w:pPr>
        <w:pStyle w:val="986"/>
        <w:ind w:left="0" w:right="1" w:firstLine="709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Министерство при проведении профилактических мероприятий осуществляет взаимодействие с </w:t>
      </w:r>
      <w:bookmarkStart w:id="0" w:name="undefined"/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контролируемыми лицами</w:t>
      </w:r>
      <w:bookmarkEnd w:id="0"/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 только в случаях,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 установленных Федеральным законом от 31.07.2020 № 248-ФЗ «О государственном контроле (надзоре) и муниципальном контроле в Российской Федерации». При этом профилактические мероприятия, в ходе которых осуществляется взаимодействие с контролируемыми лицами, 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проводятся только с согласия данных контролируемых лиц либо по их инициативе.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r>
    </w:p>
    <w:p>
      <w:pPr>
        <w:pStyle w:val="986"/>
        <w:ind w:left="0" w:right="1" w:firstLine="709"/>
        <w:jc w:val="center"/>
        <w:spacing w:line="240" w:lineRule="exact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r>
    </w:p>
    <w:p>
      <w:pPr>
        <w:pStyle w:val="986"/>
        <w:ind w:right="1" w:firstLine="709"/>
        <w:jc w:val="center"/>
        <w:spacing w:line="240" w:lineRule="exact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auto"/>
          <w:spacing w:val="5"/>
          <w:sz w:val="28"/>
          <w:szCs w:val="28"/>
          <w:highlight w:val="white"/>
        </w:rPr>
        <w:t xml:space="preserve">Раздел </w:t>
      </w:r>
      <w:r>
        <w:rPr>
          <w:rFonts w:ascii="Times New Roman" w:hAnsi="Times New Roman" w:eastAsia="Times New Roman" w:cs="Times New Roman"/>
          <w:b/>
          <w:bCs/>
          <w:color w:val="auto"/>
          <w:spacing w:val="5"/>
          <w:sz w:val="28"/>
          <w:szCs w:val="28"/>
          <w:highlight w:val="white"/>
          <w:lang w:val="en-US"/>
        </w:rPr>
        <w:t xml:space="preserve">I</w:t>
      </w:r>
      <w:r>
        <w:rPr>
          <w:rFonts w:ascii="Times New Roman" w:hAnsi="Times New Roman" w:eastAsia="Times New Roman" w:cs="Times New Roman"/>
          <w:b/>
          <w:bCs/>
          <w:color w:val="auto"/>
          <w:spacing w:val="5"/>
          <w:sz w:val="28"/>
          <w:szCs w:val="28"/>
          <w:highlight w:val="white"/>
        </w:rPr>
        <w:t xml:space="preserve">V. Показатели результативности и эффективности Программы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r>
    </w:p>
    <w:p>
      <w:pPr>
        <w:pStyle w:val="986"/>
        <w:ind w:left="0" w:right="1" w:firstLine="709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r>
    </w:p>
    <w:p>
      <w:pPr>
        <w:pStyle w:val="986"/>
        <w:ind w:left="0" w:right="1" w:firstLine="709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17. 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Оценка эффективности Программы будет проведена по итогам работы 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министерства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 за каждый отчетный год.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r>
    </w:p>
    <w:p>
      <w:pPr>
        <w:pStyle w:val="986"/>
        <w:ind w:left="0" w:right="1" w:firstLine="709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Показатели эффективности: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r>
    </w:p>
    <w:p>
      <w:pPr>
        <w:ind w:right="1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         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1) 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Снижение 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доли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 застройщиков, допустивших на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рушения обязательных требований;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r>
    </w:p>
    <w:p>
      <w:pPr>
        <w:ind w:right="1" w:firstLine="708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2) 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Снижение доли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 профилактических мероприятий, результаты которых б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удут признаны недействительными;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r>
    </w:p>
    <w:p>
      <w:pPr>
        <w:pStyle w:val="986"/>
        <w:ind w:left="0" w:right="1" w:firstLine="709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Ожидаемый результат от реализации Программы.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r>
    </w:p>
    <w:p>
      <w:pPr>
        <w:pStyle w:val="986"/>
        <w:ind w:left="0" w:right="1" w:firstLine="708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1) 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Увеличение доли застройщиков, не допускающих нар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ушение обязательных требований;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r>
    </w:p>
    <w:p>
      <w:pPr>
        <w:pStyle w:val="986"/>
        <w:ind w:left="0" w:right="1" w:firstLine="708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2) 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Уменьшение администра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тивной нагрузки на застройщиков;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r>
    </w:p>
    <w:p>
      <w:pPr>
        <w:pStyle w:val="986"/>
        <w:ind w:left="0" w:right="1" w:firstLine="708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3) 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По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вышение уровня информированности застройщиков, лиц, привлекающих денежные средства граждан для строительства, физических и юридических лиц, участвующих в долевом строительстве и граждан, имеющих намерение заключить договоры участия в долевом строительстве.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r>
    </w:p>
    <w:p>
      <w:pPr>
        <w:ind w:right="1" w:firstLine="708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Методика оценки эффективности Программы на 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202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5 год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r>
    </w:p>
    <w:p>
      <w:pPr>
        <w:ind w:right="1" w:firstLine="708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1) Снижение доли застройщиков, допустивших нарушения обязательных требований, рассчитывается как отношение количества застройщиков, в отношении которых при проведении контрольно-надзорных мероприятий не выявлены нарушения обязательных требован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ий, к общему числу застройщиков, в отношении которых были проведены контрольно-надзорные мероприятия;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r>
    </w:p>
    <w:p>
      <w:pPr>
        <w:ind w:right="1" w:firstLine="708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2) Снижение доли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 профилактических мероприятий, результаты которых будут признаны недействительными, рассчитывается как отношение количества 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профилактических мероприятий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признанных недействительными, к об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щему количеству 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профилактических мероприятий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r>
    </w:p>
    <w:p>
      <w:pPr>
        <w:ind w:right="1" w:firstLine="708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Оценка эффективности Программы будет проведена по итогам работы за каждый отчетный год.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r>
    </w:p>
    <w:p>
      <w:pPr>
        <w:pStyle w:val="986"/>
        <w:ind w:left="0" w:right="1" w:firstLine="709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18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Ожидаемый результат профилактической работы органа регионального государственного надзора на 202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5 год: снижение нарушений обязательных требований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 снижение количества невыполненных 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предписаний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 увеличение количества профилактических мероприятий.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r>
    </w:p>
    <w:p>
      <w:pPr>
        <w:pStyle w:val="986"/>
        <w:ind w:left="0" w:right="1" w:firstLine="709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19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Ссылка на официальный сайт  министерства в сети «Интернет», на котором содержится информация о деятельности: </w:t>
      </w:r>
      <w:hyperlink r:id="rId17" w:tooltip="http://minstroy.nso.ru/page/5470" w:history="1">
        <w:r>
          <w:rPr>
            <w:rStyle w:val="955"/>
            <w:rFonts w:ascii="Times New Roman" w:hAnsi="Times New Roman" w:eastAsia="Times New Roman" w:cs="Times New Roman"/>
            <w:bCs/>
            <w:spacing w:val="5"/>
            <w:sz w:val="28"/>
            <w:szCs w:val="28"/>
            <w:highlight w:val="white"/>
            <w:u w:val="none"/>
          </w:rPr>
          <w:t xml:space="preserve">http://minstroy.nso.ru/page/5470</w:t>
        </w:r>
      </w:hyperlink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r>
    </w:p>
    <w:p>
      <w:pPr>
        <w:pStyle w:val="986"/>
        <w:ind w:left="0" w:right="1" w:firstLine="709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pStyle w:val="986"/>
        <w:ind w:right="1" w:firstLine="709"/>
        <w:jc w:val="center"/>
        <w:spacing w:line="240" w:lineRule="exact"/>
        <w:rPr>
          <w:rFonts w:ascii="Times New Roman" w:hAnsi="Times New Roman" w:eastAsia="Times New Roman" w:cs="Times New Roman"/>
          <w:b/>
          <w:bCs/>
          <w:color w:val="auto"/>
          <w:spacing w:val="5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auto"/>
          <w:spacing w:val="5"/>
          <w:sz w:val="28"/>
          <w:szCs w:val="28"/>
          <w:highlight w:val="white"/>
        </w:rPr>
        <w:t xml:space="preserve">Раздел </w:t>
      </w:r>
      <w:r>
        <w:rPr>
          <w:rFonts w:ascii="Times New Roman" w:hAnsi="Times New Roman" w:eastAsia="Times New Roman" w:cs="Times New Roman"/>
          <w:b/>
          <w:bCs/>
          <w:color w:val="auto"/>
          <w:spacing w:val="5"/>
          <w:sz w:val="28"/>
          <w:szCs w:val="28"/>
          <w:highlight w:val="white"/>
        </w:rPr>
        <w:t xml:space="preserve">V</w:t>
      </w:r>
      <w:r>
        <w:rPr>
          <w:rFonts w:ascii="Times New Roman" w:hAnsi="Times New Roman" w:eastAsia="Times New Roman" w:cs="Times New Roman"/>
          <w:b/>
          <w:bCs/>
          <w:color w:val="auto"/>
          <w:spacing w:val="5"/>
          <w:sz w:val="28"/>
          <w:szCs w:val="28"/>
          <w:highlight w:val="white"/>
          <w:lang w:val="en-US"/>
        </w:rPr>
        <w:t xml:space="preserve">I</w:t>
      </w:r>
      <w:r>
        <w:rPr>
          <w:rFonts w:ascii="Times New Roman" w:hAnsi="Times New Roman" w:eastAsia="Times New Roman" w:cs="Times New Roman"/>
          <w:b/>
          <w:bCs/>
          <w:color w:val="auto"/>
          <w:spacing w:val="5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color w:val="auto"/>
          <w:spacing w:val="5"/>
          <w:sz w:val="28"/>
          <w:szCs w:val="28"/>
          <w:highlight w:val="none"/>
        </w:rPr>
        <w:t xml:space="preserve">Перечень профилактических визитов, запланированных в 2025 году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auto"/>
          <w:spacing w:val="5"/>
          <w:sz w:val="28"/>
          <w:szCs w:val="28"/>
          <w:highlight w:val="none"/>
        </w:rPr>
      </w:r>
    </w:p>
    <w:p>
      <w:pPr>
        <w:pStyle w:val="986"/>
        <w:ind w:right="1" w:firstLine="709"/>
        <w:jc w:val="center"/>
        <w:spacing w:line="240" w:lineRule="exact"/>
        <w:rPr>
          <w:rFonts w:ascii="Times New Roman" w:hAnsi="Times New Roman" w:eastAsia="Times New Roman" w:cs="Times New Roman"/>
          <w:color w:val="auto"/>
          <w:spacing w:val="5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pacing w:val="5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pacing w:val="5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pacing w:val="5"/>
          <w:sz w:val="28"/>
          <w:szCs w:val="28"/>
          <w:highlight w:val="white"/>
        </w:rPr>
      </w:r>
    </w:p>
    <w:tbl>
      <w:tblPr>
        <w:tblStyle w:val="987"/>
        <w:tblW w:w="0" w:type="auto"/>
        <w:tblLayout w:type="fixed"/>
        <w:tblLook w:val="04A0" w:firstRow="1" w:lastRow="0" w:firstColumn="1" w:lastColumn="0" w:noHBand="0" w:noVBand="1"/>
      </w:tblPr>
      <w:tblGrid>
        <w:gridCol w:w="574"/>
        <w:gridCol w:w="3118"/>
        <w:gridCol w:w="1843"/>
        <w:gridCol w:w="1984"/>
        <w:gridCol w:w="2126"/>
      </w:tblGrid>
      <w:tr>
        <w:tblPrEx/>
        <w:trPr>
          <w:trHeight w:val="70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№ п/п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Наименование застройщика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ИНН застройщика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Дата регистрации ДДУ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ID Объекта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9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СЗ "ГРИН-ПАРК"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5406833073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09.02.2024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56983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СЗ "ЭМКАДЭ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5402075728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28.02.2024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53763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СЗ "БИОГРАФИЯ"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5406830883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15.03.2024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56739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СЗ "ФАДЕЕВ"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5402077066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02.04.2024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58617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"СЗ "ДИАДЕМА"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5406823702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08.04.2024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56801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СЗ ГРАНИ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5404317059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08.04.2024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57789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СЗ "ОКРУГ"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5403183363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22.05.2024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59602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СЗ "СПЕКТР"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5410144492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23.05.2024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59393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СЗ "СЕВЕР-СТРОЙ"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5410148120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28.05.2024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59607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СЗ "ВИРА НА ГРИБОЕДОВА"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5410076740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03.06.2024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59553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СЗ "КМ"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5404305790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06.06.2024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58460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"СЗ "СТРОЙТЕХ"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5403080738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07.06.2024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58972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СЗ "ЮНИТ.ЦЕНТР"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5402079602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10.06.2024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59386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"СТАТУС. СЗ"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5406815620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25.06.2024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59908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"СЗ "ГВОЗДИКА"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5405043058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29.07.2024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60922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СЗ "ТОЧКА ОПОРЫ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5402068382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01.08.2024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58866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"СЗ "ДИВНОГОРСКИЙ"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5404311392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20.08.2024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59799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"СЗ "БИРЮЗА"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5402063803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30.08.2024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58970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СЗ "СТРАНА.НОВОСИБИРСК"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9703112561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10.09.2024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61830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СПЕЦИАЛИЗИРОВАННЫЙ ЗАСТРОЙЩИК "ЖК НЕВСКИЙ"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5406837543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19.09.2024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61456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"СЗ "ОРИОН"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5406808944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62222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СЗ МЕГА АПАРТС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5406820363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5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ООО СЗ "ГРАДИНВЕСТ"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5405083830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62235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86"/>
        <w:ind w:right="1" w:firstLine="709"/>
        <w:jc w:val="center"/>
        <w:spacing w:line="240" w:lineRule="exact"/>
        <w:rPr>
          <w:rFonts w:ascii="Times New Roman" w:hAnsi="Times New Roman" w:eastAsia="Times New Roman" w:cs="Times New Roman"/>
          <w:color w:val="auto"/>
          <w:spacing w:val="5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auto"/>
          <w:spacing w:val="5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auto"/>
          <w:spacing w:val="5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pacing w:val="5"/>
          <w:sz w:val="28"/>
          <w:szCs w:val="28"/>
          <w:highlight w:val="white"/>
        </w:rPr>
      </w:r>
    </w:p>
    <w:p>
      <w:pPr>
        <w:pStyle w:val="986"/>
        <w:ind w:left="0" w:right="1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pStyle w:val="986"/>
        <w:ind w:left="0" w:right="1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9" w:h="16838" w:orient="portrait"/>
      <w:pgMar w:top="1134" w:right="852" w:bottom="851" w:left="1418" w:header="142" w:footer="6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rdiaUPC">
    <w:panose1 w:val="020B0604020202020204"/>
  </w:font>
  <w:font w:name="Gulim">
    <w:panose1 w:val="020B0603020202020204"/>
  </w:font>
  <w:font w:name="Calibri">
    <w:panose1 w:val="020F0502020204030204"/>
  </w:font>
  <w:font w:name="Arial Narrow">
    <w:panose1 w:val="020B060402020202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ourier New">
    <w:panose1 w:val="020703090202050204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93369892"/>
      <w:docPartObj>
        <w:docPartGallery w:val="Page Numbers (Top of Page)"/>
        <w:docPartUnique w:val="true"/>
      </w:docPartObj>
      <w:rPr/>
    </w:sdtPr>
    <w:sdtContent>
      <w:p>
        <w:pPr>
          <w:pStyle w:val="99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- 2 -</w:t>
        </w:r>
        <w:r>
          <w:fldChar w:fldCharType="end"/>
        </w:r>
        <w:r/>
      </w:p>
    </w:sdtContent>
  </w:sdt>
  <w:p>
    <w:pPr>
      <w:pStyle w:val="99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1"/>
      <w:jc w:val="right"/>
      <w:rPr>
        <w:b/>
        <w:bCs/>
        <w:highlight w:val="none"/>
      </w:rPr>
    </w:pPr>
    <w:r>
      <w:rPr>
        <w:b/>
        <w:bCs/>
      </w:rPr>
      <w:t xml:space="preserve">Проект</w:t>
    </w:r>
    <w:r>
      <w:rPr>
        <w:b/>
        <w:bCs/>
      </w:rPr>
    </w:r>
  </w:p>
  <w:p>
    <w:pPr>
      <w:pStyle w:val="991"/>
      <w:jc w:val="center"/>
    </w:pPr>
    <w:r>
      <w:rPr>
        <w:highlight w:val="none"/>
      </w:rPr>
    </w:r>
    <w:r>
      <w:rPr>
        <w:highlight w:val="none"/>
      </w:rPr>
    </w:r>
  </w:p>
  <w:p>
    <w:pPr>
      <w:pStyle w:val="99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Courier New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14.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1347" w:hanging="4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1">
    <w:multiLevelType w:val="hybridMultilevel"/>
    <w:lvl w:ilvl="0">
      <w:start w:val="5"/>
      <w:numFmt w:val="decimal"/>
      <w:isLgl w:val="false"/>
      <w:suff w:val="tab"/>
      <w:lvlText w:val="%1)"/>
      <w:lvlJc w:val="left"/>
      <w:pPr>
        <w:ind w:left="10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2" w:hanging="180"/>
      </w:pPr>
    </w:lvl>
  </w:abstractNum>
  <w:abstractNum w:abstractNumId="12">
    <w:multiLevelType w:val="hybridMultilevel"/>
    <w:lvl w:ilvl="0">
      <w:start w:val="17"/>
      <w:numFmt w:val="decimal"/>
      <w:isLgl w:val="false"/>
      <w:suff w:val="tab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8">
    <w:multiLevelType w:val="hybridMultilevel"/>
    <w:lvl w:ilvl="0">
      <w:start w:val="4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6">
    <w:multiLevelType w:val="hybridMultilevel"/>
    <w:lvl w:ilvl="0">
      <w:start w:val="17"/>
      <w:numFmt w:val="decimal"/>
      <w:isLgl w:val="false"/>
      <w:suff w:val="tab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4">
    <w:multiLevelType w:val="hybridMultilevel"/>
    <w:lvl w:ilvl="0">
      <w:start w:val="19"/>
      <w:numFmt w:val="decimal"/>
      <w:isLgl w:val="false"/>
      <w:suff w:val="tab"/>
      <w:lvlText w:val="%1."/>
      <w:lvlJc w:val="left"/>
      <w:pPr>
        <w:ind w:left="1459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4" w:hanging="180"/>
      </w:pPr>
    </w:lvl>
  </w:abstractNum>
  <w:abstractNum w:abstractNumId="3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570" w:hanging="72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Theme="minorEastAsia"/>
        <w:color w:val="auto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14.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1">
    <w:multiLevelType w:val="hybridMultilevel"/>
    <w:lvl w:ilvl="0">
      <w:start w:val="6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3"/>
  </w:num>
  <w:num w:numId="3">
    <w:abstractNumId w:val="8"/>
  </w:num>
  <w:num w:numId="4">
    <w:abstractNumId w:val="31"/>
  </w:num>
  <w:num w:numId="5">
    <w:abstractNumId w:val="3"/>
  </w:num>
  <w:num w:numId="6">
    <w:abstractNumId w:val="20"/>
  </w:num>
  <w:num w:numId="7">
    <w:abstractNumId w:val="42"/>
  </w:num>
  <w:num w:numId="8">
    <w:abstractNumId w:val="11"/>
  </w:num>
  <w:num w:numId="9">
    <w:abstractNumId w:val="35"/>
  </w:num>
  <w:num w:numId="10">
    <w:abstractNumId w:val="29"/>
  </w:num>
  <w:num w:numId="11">
    <w:abstractNumId w:val="39"/>
  </w:num>
  <w:num w:numId="12">
    <w:abstractNumId w:val="7"/>
  </w:num>
  <w:num w:numId="13">
    <w:abstractNumId w:val="40"/>
  </w:num>
  <w:num w:numId="14">
    <w:abstractNumId w:val="38"/>
  </w:num>
  <w:num w:numId="15">
    <w:abstractNumId w:val="17"/>
  </w:num>
  <w:num w:numId="16">
    <w:abstractNumId w:val="18"/>
  </w:num>
  <w:num w:numId="17">
    <w:abstractNumId w:val="37"/>
  </w:num>
  <w:num w:numId="18">
    <w:abstractNumId w:val="41"/>
  </w:num>
  <w:num w:numId="19">
    <w:abstractNumId w:val="1"/>
  </w:num>
  <w:num w:numId="20">
    <w:abstractNumId w:val="22"/>
  </w:num>
  <w:num w:numId="21">
    <w:abstractNumId w:val="24"/>
  </w:num>
  <w:num w:numId="22">
    <w:abstractNumId w:val="13"/>
  </w:num>
  <w:num w:numId="23">
    <w:abstractNumId w:val="9"/>
  </w:num>
  <w:num w:numId="24">
    <w:abstractNumId w:val="19"/>
  </w:num>
  <w:num w:numId="25">
    <w:abstractNumId w:val="6"/>
  </w:num>
  <w:num w:numId="26">
    <w:abstractNumId w:val="15"/>
  </w:num>
  <w:num w:numId="27">
    <w:abstractNumId w:val="32"/>
  </w:num>
  <w:num w:numId="28">
    <w:abstractNumId w:val="36"/>
  </w:num>
  <w:num w:numId="29">
    <w:abstractNumId w:val="33"/>
  </w:num>
  <w:num w:numId="30">
    <w:abstractNumId w:val="0"/>
  </w:num>
  <w:num w:numId="31">
    <w:abstractNumId w:val="16"/>
  </w:num>
  <w:num w:numId="32">
    <w:abstractNumId w:val="25"/>
  </w:num>
  <w:num w:numId="33">
    <w:abstractNumId w:val="2"/>
  </w:num>
  <w:num w:numId="34">
    <w:abstractNumId w:val="4"/>
  </w:num>
  <w:num w:numId="35">
    <w:abstractNumId w:val="28"/>
  </w:num>
  <w:num w:numId="36">
    <w:abstractNumId w:val="10"/>
  </w:num>
  <w:num w:numId="37">
    <w:abstractNumId w:val="26"/>
  </w:num>
  <w:num w:numId="38">
    <w:abstractNumId w:val="12"/>
  </w:num>
  <w:num w:numId="39">
    <w:abstractNumId w:val="34"/>
  </w:num>
  <w:num w:numId="40">
    <w:abstractNumId w:val="30"/>
  </w:num>
  <w:num w:numId="41">
    <w:abstractNumId w:val="14"/>
  </w:num>
  <w:num w:numId="42">
    <w:abstractNumId w:val="27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ourier New" w:hAnsi="Courier New" w:eastAsia="Courier New" w:cs="Courier New"/>
        <w:sz w:val="24"/>
        <w:szCs w:val="24"/>
        <w:lang w:val="ru-RU" w:eastAsia="ru-RU" w:bidi="ru-RU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8">
    <w:name w:val="Heading 1"/>
    <w:basedOn w:val="951"/>
    <w:next w:val="951"/>
    <w:link w:val="7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79">
    <w:name w:val="Heading 1 Char"/>
    <w:basedOn w:val="952"/>
    <w:link w:val="778"/>
    <w:uiPriority w:val="9"/>
    <w:rPr>
      <w:rFonts w:ascii="Arial" w:hAnsi="Arial" w:eastAsia="Arial" w:cs="Arial"/>
      <w:sz w:val="40"/>
      <w:szCs w:val="40"/>
    </w:rPr>
  </w:style>
  <w:style w:type="paragraph" w:styleId="780">
    <w:name w:val="Heading 2"/>
    <w:basedOn w:val="951"/>
    <w:next w:val="951"/>
    <w:link w:val="7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1">
    <w:name w:val="Heading 2 Char"/>
    <w:basedOn w:val="952"/>
    <w:link w:val="780"/>
    <w:uiPriority w:val="9"/>
    <w:rPr>
      <w:rFonts w:ascii="Arial" w:hAnsi="Arial" w:eastAsia="Arial" w:cs="Arial"/>
      <w:sz w:val="34"/>
    </w:rPr>
  </w:style>
  <w:style w:type="paragraph" w:styleId="782">
    <w:name w:val="Heading 3"/>
    <w:basedOn w:val="951"/>
    <w:next w:val="951"/>
    <w:link w:val="7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3">
    <w:name w:val="Heading 3 Char"/>
    <w:basedOn w:val="952"/>
    <w:link w:val="782"/>
    <w:uiPriority w:val="9"/>
    <w:rPr>
      <w:rFonts w:ascii="Arial" w:hAnsi="Arial" w:eastAsia="Arial" w:cs="Arial"/>
      <w:sz w:val="30"/>
      <w:szCs w:val="30"/>
    </w:rPr>
  </w:style>
  <w:style w:type="paragraph" w:styleId="784">
    <w:name w:val="Heading 4"/>
    <w:basedOn w:val="951"/>
    <w:next w:val="951"/>
    <w:link w:val="7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5">
    <w:name w:val="Heading 4 Char"/>
    <w:basedOn w:val="952"/>
    <w:link w:val="784"/>
    <w:uiPriority w:val="9"/>
    <w:rPr>
      <w:rFonts w:ascii="Arial" w:hAnsi="Arial" w:eastAsia="Arial" w:cs="Arial"/>
      <w:b/>
      <w:bCs/>
      <w:sz w:val="26"/>
      <w:szCs w:val="26"/>
    </w:rPr>
  </w:style>
  <w:style w:type="paragraph" w:styleId="786">
    <w:name w:val="Heading 5"/>
    <w:basedOn w:val="951"/>
    <w:next w:val="951"/>
    <w:link w:val="7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7">
    <w:name w:val="Heading 5 Char"/>
    <w:basedOn w:val="952"/>
    <w:link w:val="786"/>
    <w:uiPriority w:val="9"/>
    <w:rPr>
      <w:rFonts w:ascii="Arial" w:hAnsi="Arial" w:eastAsia="Arial" w:cs="Arial"/>
      <w:b/>
      <w:bCs/>
      <w:sz w:val="24"/>
      <w:szCs w:val="24"/>
    </w:rPr>
  </w:style>
  <w:style w:type="paragraph" w:styleId="788">
    <w:name w:val="Heading 6"/>
    <w:basedOn w:val="951"/>
    <w:next w:val="951"/>
    <w:link w:val="7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9">
    <w:name w:val="Heading 6 Char"/>
    <w:basedOn w:val="952"/>
    <w:link w:val="788"/>
    <w:uiPriority w:val="9"/>
    <w:rPr>
      <w:rFonts w:ascii="Arial" w:hAnsi="Arial" w:eastAsia="Arial" w:cs="Arial"/>
      <w:b/>
      <w:bCs/>
      <w:sz w:val="22"/>
      <w:szCs w:val="22"/>
    </w:rPr>
  </w:style>
  <w:style w:type="paragraph" w:styleId="790">
    <w:name w:val="Heading 7"/>
    <w:basedOn w:val="951"/>
    <w:next w:val="951"/>
    <w:link w:val="7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1">
    <w:name w:val="Heading 7 Char"/>
    <w:basedOn w:val="952"/>
    <w:link w:val="7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2">
    <w:name w:val="Heading 8"/>
    <w:basedOn w:val="951"/>
    <w:next w:val="951"/>
    <w:link w:val="7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3">
    <w:name w:val="Heading 8 Char"/>
    <w:basedOn w:val="952"/>
    <w:link w:val="792"/>
    <w:uiPriority w:val="9"/>
    <w:rPr>
      <w:rFonts w:ascii="Arial" w:hAnsi="Arial" w:eastAsia="Arial" w:cs="Arial"/>
      <w:i/>
      <w:iCs/>
      <w:sz w:val="22"/>
      <w:szCs w:val="22"/>
    </w:rPr>
  </w:style>
  <w:style w:type="paragraph" w:styleId="794">
    <w:name w:val="Heading 9"/>
    <w:basedOn w:val="951"/>
    <w:next w:val="951"/>
    <w:link w:val="7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5">
    <w:name w:val="Heading 9 Char"/>
    <w:basedOn w:val="952"/>
    <w:link w:val="794"/>
    <w:uiPriority w:val="9"/>
    <w:rPr>
      <w:rFonts w:ascii="Arial" w:hAnsi="Arial" w:eastAsia="Arial" w:cs="Arial"/>
      <w:i/>
      <w:iCs/>
      <w:sz w:val="21"/>
      <w:szCs w:val="21"/>
    </w:rPr>
  </w:style>
  <w:style w:type="paragraph" w:styleId="796">
    <w:name w:val="No Spacing"/>
    <w:uiPriority w:val="1"/>
    <w:qFormat/>
    <w:pPr>
      <w:spacing w:before="0" w:after="0" w:line="240" w:lineRule="auto"/>
    </w:pPr>
  </w:style>
  <w:style w:type="paragraph" w:styleId="797">
    <w:name w:val="Title"/>
    <w:basedOn w:val="951"/>
    <w:next w:val="951"/>
    <w:link w:val="7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8">
    <w:name w:val="Title Char"/>
    <w:basedOn w:val="952"/>
    <w:link w:val="797"/>
    <w:uiPriority w:val="10"/>
    <w:rPr>
      <w:sz w:val="48"/>
      <w:szCs w:val="48"/>
    </w:rPr>
  </w:style>
  <w:style w:type="paragraph" w:styleId="799">
    <w:name w:val="Subtitle"/>
    <w:basedOn w:val="951"/>
    <w:next w:val="951"/>
    <w:link w:val="800"/>
    <w:uiPriority w:val="11"/>
    <w:qFormat/>
    <w:pPr>
      <w:spacing w:before="200" w:after="200"/>
    </w:pPr>
    <w:rPr>
      <w:sz w:val="24"/>
      <w:szCs w:val="24"/>
    </w:rPr>
  </w:style>
  <w:style w:type="character" w:styleId="800">
    <w:name w:val="Subtitle Char"/>
    <w:basedOn w:val="952"/>
    <w:link w:val="799"/>
    <w:uiPriority w:val="11"/>
    <w:rPr>
      <w:sz w:val="24"/>
      <w:szCs w:val="24"/>
    </w:rPr>
  </w:style>
  <w:style w:type="paragraph" w:styleId="801">
    <w:name w:val="Quote"/>
    <w:basedOn w:val="951"/>
    <w:next w:val="951"/>
    <w:link w:val="802"/>
    <w:uiPriority w:val="29"/>
    <w:qFormat/>
    <w:pPr>
      <w:ind w:left="720" w:right="720"/>
    </w:pPr>
    <w:rPr>
      <w:i/>
    </w:rPr>
  </w:style>
  <w:style w:type="character" w:styleId="802">
    <w:name w:val="Quote Char"/>
    <w:link w:val="801"/>
    <w:uiPriority w:val="29"/>
    <w:rPr>
      <w:i/>
    </w:rPr>
  </w:style>
  <w:style w:type="paragraph" w:styleId="803">
    <w:name w:val="Intense Quote"/>
    <w:basedOn w:val="951"/>
    <w:next w:val="951"/>
    <w:link w:val="8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4">
    <w:name w:val="Intense Quote Char"/>
    <w:link w:val="803"/>
    <w:uiPriority w:val="30"/>
    <w:rPr>
      <w:i/>
    </w:rPr>
  </w:style>
  <w:style w:type="character" w:styleId="805">
    <w:name w:val="Header Char"/>
    <w:basedOn w:val="952"/>
    <w:link w:val="991"/>
    <w:uiPriority w:val="99"/>
  </w:style>
  <w:style w:type="character" w:styleId="806">
    <w:name w:val="Footer Char"/>
    <w:basedOn w:val="952"/>
    <w:link w:val="993"/>
    <w:uiPriority w:val="99"/>
  </w:style>
  <w:style w:type="paragraph" w:styleId="807">
    <w:name w:val="Caption"/>
    <w:basedOn w:val="951"/>
    <w:next w:val="9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8">
    <w:name w:val="Caption Char"/>
    <w:basedOn w:val="807"/>
    <w:link w:val="993"/>
    <w:uiPriority w:val="99"/>
  </w:style>
  <w:style w:type="table" w:styleId="809">
    <w:name w:val="Table Grid Light"/>
    <w:basedOn w:val="9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0">
    <w:name w:val="Plain Table 1"/>
    <w:basedOn w:val="9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1">
    <w:name w:val="Plain Table 2"/>
    <w:basedOn w:val="9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2">
    <w:name w:val="Plain Table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3">
    <w:name w:val="Plain Table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Plain Table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5">
    <w:name w:val="Grid Table 1 Light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1 Light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2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2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4"/>
    <w:basedOn w:val="9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7">
    <w:name w:val="Grid Table 4 - Accent 1"/>
    <w:basedOn w:val="9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8">
    <w:name w:val="Grid Table 4 - Accent 2"/>
    <w:basedOn w:val="9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9">
    <w:name w:val="Grid Table 4 - Accent 3"/>
    <w:basedOn w:val="9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0">
    <w:name w:val="Grid Table 4 - Accent 4"/>
    <w:basedOn w:val="9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1">
    <w:name w:val="Grid Table 4 - Accent 5"/>
    <w:basedOn w:val="9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2">
    <w:name w:val="Grid Table 4 - Accent 6"/>
    <w:basedOn w:val="9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3">
    <w:name w:val="Grid Table 5 Dark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4">
    <w:name w:val="Grid Table 5 Dark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5">
    <w:name w:val="Grid Table 5 Dark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6">
    <w:name w:val="Grid Table 5 Dark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7">
    <w:name w:val="Grid Table 5 Dark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8">
    <w:name w:val="Grid Table 5 Dark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9">
    <w:name w:val="Grid Table 5 Dark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50">
    <w:name w:val="Grid Table 6 Colorful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1">
    <w:name w:val="Grid Table 6 Colorful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2">
    <w:name w:val="Grid Table 6 Colorful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3">
    <w:name w:val="Grid Table 6 Colorful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4">
    <w:name w:val="Grid Table 6 Colorful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5">
    <w:name w:val="Grid Table 6 Colorful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6">
    <w:name w:val="Grid Table 6 Colorful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7">
    <w:name w:val="Grid Table 7 Colorful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7 Colorful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7 Colorful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2">
    <w:name w:val="List Table 2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3">
    <w:name w:val="List Table 2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4">
    <w:name w:val="List Table 2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5">
    <w:name w:val="List Table 2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6">
    <w:name w:val="List Table 2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7">
    <w:name w:val="List Table 2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8">
    <w:name w:val="List Table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3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5 Dark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5 Dark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6 Colorful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0">
    <w:name w:val="List Table 6 Colorful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1">
    <w:name w:val="List Table 6 Colorful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2">
    <w:name w:val="List Table 6 Colorful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3">
    <w:name w:val="List Table 6 Colorful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4">
    <w:name w:val="List Table 6 Colorful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5">
    <w:name w:val="List Table 6 Colorful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6">
    <w:name w:val="List Table 7 Colorful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7">
    <w:name w:val="List Table 7 Colorful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8">
    <w:name w:val="List Table 7 Colorful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9">
    <w:name w:val="List Table 7 Colorful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10">
    <w:name w:val="List Table 7 Colorful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11">
    <w:name w:val="List Table 7 Colorful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12">
    <w:name w:val="List Table 7 Colorful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13">
    <w:name w:val="Lined - Accent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4">
    <w:name w:val="Lined - Accent 1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5">
    <w:name w:val="Lined - Accent 2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6">
    <w:name w:val="Lined - Accent 3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7">
    <w:name w:val="Lined - Accent 4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8">
    <w:name w:val="Lined - Accent 5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9">
    <w:name w:val="Lined - Accent 6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0">
    <w:name w:val="Bordered &amp; Lined - Accent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1">
    <w:name w:val="Bordered &amp; Lined - Accent 1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2">
    <w:name w:val="Bordered &amp; Lined - Accent 2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3">
    <w:name w:val="Bordered &amp; Lined - Accent 3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4">
    <w:name w:val="Bordered &amp; Lined - Accent 4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5">
    <w:name w:val="Bordered &amp; Lined - Accent 5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6">
    <w:name w:val="Bordered &amp; Lined - Accent 6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7">
    <w:name w:val="Bordered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8">
    <w:name w:val="Bordered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9">
    <w:name w:val="Bordered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0">
    <w:name w:val="Bordered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1">
    <w:name w:val="Bordered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2">
    <w:name w:val="Bordered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3">
    <w:name w:val="Bordered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34">
    <w:name w:val="footnote text"/>
    <w:basedOn w:val="951"/>
    <w:link w:val="935"/>
    <w:uiPriority w:val="99"/>
    <w:semiHidden/>
    <w:unhideWhenUsed/>
    <w:pPr>
      <w:spacing w:after="40" w:line="240" w:lineRule="auto"/>
    </w:pPr>
    <w:rPr>
      <w:sz w:val="18"/>
    </w:rPr>
  </w:style>
  <w:style w:type="character" w:styleId="935">
    <w:name w:val="Footnote Text Char"/>
    <w:link w:val="934"/>
    <w:uiPriority w:val="99"/>
    <w:rPr>
      <w:sz w:val="18"/>
    </w:rPr>
  </w:style>
  <w:style w:type="character" w:styleId="936">
    <w:name w:val="footnote reference"/>
    <w:basedOn w:val="952"/>
    <w:uiPriority w:val="99"/>
    <w:unhideWhenUsed/>
    <w:rPr>
      <w:vertAlign w:val="superscript"/>
    </w:rPr>
  </w:style>
  <w:style w:type="paragraph" w:styleId="937">
    <w:name w:val="endnote text"/>
    <w:basedOn w:val="951"/>
    <w:link w:val="938"/>
    <w:uiPriority w:val="99"/>
    <w:semiHidden/>
    <w:unhideWhenUsed/>
    <w:pPr>
      <w:spacing w:after="0" w:line="240" w:lineRule="auto"/>
    </w:pPr>
    <w:rPr>
      <w:sz w:val="20"/>
    </w:rPr>
  </w:style>
  <w:style w:type="character" w:styleId="938">
    <w:name w:val="Endnote Text Char"/>
    <w:link w:val="937"/>
    <w:uiPriority w:val="99"/>
    <w:rPr>
      <w:sz w:val="20"/>
    </w:rPr>
  </w:style>
  <w:style w:type="character" w:styleId="939">
    <w:name w:val="endnote reference"/>
    <w:basedOn w:val="952"/>
    <w:uiPriority w:val="99"/>
    <w:semiHidden/>
    <w:unhideWhenUsed/>
    <w:rPr>
      <w:vertAlign w:val="superscript"/>
    </w:rPr>
  </w:style>
  <w:style w:type="paragraph" w:styleId="940">
    <w:name w:val="toc 1"/>
    <w:basedOn w:val="951"/>
    <w:next w:val="951"/>
    <w:uiPriority w:val="39"/>
    <w:unhideWhenUsed/>
    <w:pPr>
      <w:ind w:left="0" w:right="0" w:firstLine="0"/>
      <w:spacing w:after="57"/>
    </w:pPr>
  </w:style>
  <w:style w:type="paragraph" w:styleId="941">
    <w:name w:val="toc 2"/>
    <w:basedOn w:val="951"/>
    <w:next w:val="951"/>
    <w:uiPriority w:val="39"/>
    <w:unhideWhenUsed/>
    <w:pPr>
      <w:ind w:left="283" w:right="0" w:firstLine="0"/>
      <w:spacing w:after="57"/>
    </w:pPr>
  </w:style>
  <w:style w:type="paragraph" w:styleId="942">
    <w:name w:val="toc 3"/>
    <w:basedOn w:val="951"/>
    <w:next w:val="951"/>
    <w:uiPriority w:val="39"/>
    <w:unhideWhenUsed/>
    <w:pPr>
      <w:ind w:left="567" w:right="0" w:firstLine="0"/>
      <w:spacing w:after="57"/>
    </w:pPr>
  </w:style>
  <w:style w:type="paragraph" w:styleId="943">
    <w:name w:val="toc 4"/>
    <w:basedOn w:val="951"/>
    <w:next w:val="951"/>
    <w:uiPriority w:val="39"/>
    <w:unhideWhenUsed/>
    <w:pPr>
      <w:ind w:left="850" w:right="0" w:firstLine="0"/>
      <w:spacing w:after="57"/>
    </w:pPr>
  </w:style>
  <w:style w:type="paragraph" w:styleId="944">
    <w:name w:val="toc 5"/>
    <w:basedOn w:val="951"/>
    <w:next w:val="951"/>
    <w:uiPriority w:val="39"/>
    <w:unhideWhenUsed/>
    <w:pPr>
      <w:ind w:left="1134" w:right="0" w:firstLine="0"/>
      <w:spacing w:after="57"/>
    </w:pPr>
  </w:style>
  <w:style w:type="paragraph" w:styleId="945">
    <w:name w:val="toc 6"/>
    <w:basedOn w:val="951"/>
    <w:next w:val="951"/>
    <w:uiPriority w:val="39"/>
    <w:unhideWhenUsed/>
    <w:pPr>
      <w:ind w:left="1417" w:right="0" w:firstLine="0"/>
      <w:spacing w:after="57"/>
    </w:pPr>
  </w:style>
  <w:style w:type="paragraph" w:styleId="946">
    <w:name w:val="toc 7"/>
    <w:basedOn w:val="951"/>
    <w:next w:val="951"/>
    <w:uiPriority w:val="39"/>
    <w:unhideWhenUsed/>
    <w:pPr>
      <w:ind w:left="1701" w:right="0" w:firstLine="0"/>
      <w:spacing w:after="57"/>
    </w:pPr>
  </w:style>
  <w:style w:type="paragraph" w:styleId="947">
    <w:name w:val="toc 8"/>
    <w:basedOn w:val="951"/>
    <w:next w:val="951"/>
    <w:uiPriority w:val="39"/>
    <w:unhideWhenUsed/>
    <w:pPr>
      <w:ind w:left="1984" w:right="0" w:firstLine="0"/>
      <w:spacing w:after="57"/>
    </w:pPr>
  </w:style>
  <w:style w:type="paragraph" w:styleId="948">
    <w:name w:val="toc 9"/>
    <w:basedOn w:val="951"/>
    <w:next w:val="951"/>
    <w:uiPriority w:val="39"/>
    <w:unhideWhenUsed/>
    <w:pPr>
      <w:ind w:left="2268" w:right="0" w:firstLine="0"/>
      <w:spacing w:after="57"/>
    </w:pPr>
  </w:style>
  <w:style w:type="paragraph" w:styleId="949">
    <w:name w:val="TOC Heading"/>
    <w:uiPriority w:val="39"/>
    <w:unhideWhenUsed/>
  </w:style>
  <w:style w:type="paragraph" w:styleId="950">
    <w:name w:val="table of figures"/>
    <w:basedOn w:val="951"/>
    <w:next w:val="951"/>
    <w:uiPriority w:val="99"/>
    <w:unhideWhenUsed/>
    <w:pPr>
      <w:spacing w:after="0" w:afterAutospacing="0"/>
    </w:pPr>
  </w:style>
  <w:style w:type="paragraph" w:styleId="951" w:default="1">
    <w:name w:val="Normal"/>
    <w:rPr>
      <w:color w:val="000000"/>
    </w:rPr>
  </w:style>
  <w:style w:type="character" w:styleId="952" w:default="1">
    <w:name w:val="Default Paragraph Font"/>
    <w:uiPriority w:val="1"/>
    <w:semiHidden/>
    <w:unhideWhenUsed/>
  </w:style>
  <w:style w:type="table" w:styleId="9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4" w:default="1">
    <w:name w:val="No List"/>
    <w:uiPriority w:val="99"/>
    <w:semiHidden/>
    <w:unhideWhenUsed/>
  </w:style>
  <w:style w:type="character" w:styleId="955">
    <w:name w:val="Hyperlink"/>
    <w:basedOn w:val="952"/>
    <w:rPr>
      <w:color w:val="0066cc"/>
      <w:u w:val="single"/>
    </w:rPr>
  </w:style>
  <w:style w:type="character" w:styleId="956" w:customStyle="1">
    <w:name w:val="Основной текст Exact"/>
    <w:basedOn w:val="95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12"/>
      <w:sz w:val="22"/>
      <w:szCs w:val="22"/>
      <w:u w:val="none"/>
    </w:rPr>
  </w:style>
  <w:style w:type="character" w:styleId="957" w:customStyle="1">
    <w:name w:val="Основной текст_"/>
    <w:basedOn w:val="952"/>
    <w:link w:val="97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styleId="958" w:customStyle="1">
    <w:name w:val="Заголовок №1_"/>
    <w:basedOn w:val="952"/>
    <w:link w:val="979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20"/>
      <w:sz w:val="30"/>
      <w:szCs w:val="30"/>
      <w:u w:val="none"/>
    </w:rPr>
  </w:style>
  <w:style w:type="character" w:styleId="959" w:customStyle="1">
    <w:name w:val="Основной текст (2)_"/>
    <w:basedOn w:val="952"/>
    <w:link w:val="980"/>
    <w:rPr>
      <w:rFonts w:ascii="Calibri" w:hAnsi="Calibri" w:eastAsia="Calibri" w:cs="Calibri"/>
      <w:b/>
      <w:bCs/>
      <w:i/>
      <w:iCs/>
      <w:smallCaps w:val="0"/>
      <w:strike w:val="0"/>
      <w:spacing w:val="-10"/>
      <w:sz w:val="32"/>
      <w:szCs w:val="32"/>
      <w:u w:val="none"/>
    </w:rPr>
  </w:style>
  <w:style w:type="character" w:styleId="960" w:customStyle="1">
    <w:name w:val="Основной текст (2) + Times New Roman;10;5 pt;Не полужирный;Не курсив;Интервал 1 pt"/>
    <w:basedOn w:val="959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20"/>
      <w:position w:val="0"/>
      <w:sz w:val="21"/>
      <w:szCs w:val="21"/>
      <w:u w:val="none"/>
      <w:lang w:val="ru-RU" w:eastAsia="ru-RU" w:bidi="ru-RU"/>
    </w:rPr>
  </w:style>
  <w:style w:type="character" w:styleId="961" w:customStyle="1">
    <w:name w:val="Основной текст (3)_"/>
    <w:basedOn w:val="952"/>
    <w:link w:val="981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styleId="962" w:customStyle="1">
    <w:name w:val="Основной текст (3) + Не курсив"/>
    <w:basedOn w:val="961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styleId="963" w:customStyle="1">
    <w:name w:val="Основной текст + Интервал 3 pt"/>
    <w:basedOn w:val="95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lang w:val="ru-RU" w:eastAsia="ru-RU" w:bidi="ru-RU"/>
    </w:rPr>
  </w:style>
  <w:style w:type="character" w:styleId="964" w:customStyle="1">
    <w:name w:val="Основной текст + Интервал 0 pt"/>
    <w:basedOn w:val="95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965" w:customStyle="1">
    <w:name w:val="Основной текст + 10;5 pt;Интервал 0 pt"/>
    <w:basedOn w:val="95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character" w:styleId="966" w:customStyle="1">
    <w:name w:val="Основной текст + 10;5 pt;Полужирный;Курсив;Интервал 0 pt"/>
    <w:basedOn w:val="957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-10"/>
      <w:position w:val="0"/>
      <w:sz w:val="21"/>
      <w:szCs w:val="21"/>
      <w:u w:val="single"/>
      <w:lang w:val="en-US" w:eastAsia="en-US" w:bidi="en-US"/>
    </w:rPr>
  </w:style>
  <w:style w:type="character" w:styleId="967" w:customStyle="1">
    <w:name w:val="Основной текст + 10;5 pt;Полужирный;Курсив;Интервал 0 pt"/>
    <w:basedOn w:val="957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-10"/>
      <w:position w:val="0"/>
      <w:sz w:val="21"/>
      <w:szCs w:val="21"/>
      <w:u w:val="none"/>
      <w:lang w:val="ru-RU" w:eastAsia="ru-RU" w:bidi="ru-RU"/>
    </w:rPr>
  </w:style>
  <w:style w:type="character" w:styleId="968" w:customStyle="1">
    <w:name w:val="Основной текст (4)_"/>
    <w:basedOn w:val="952"/>
    <w:link w:val="982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styleId="969" w:customStyle="1">
    <w:name w:val="Основной текст (4) + Интервал 4 pt"/>
    <w:basedOn w:val="968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80"/>
      <w:position w:val="0"/>
      <w:sz w:val="23"/>
      <w:szCs w:val="23"/>
      <w:u w:val="none"/>
      <w:lang w:val="ru-RU" w:eastAsia="ru-RU" w:bidi="ru-RU"/>
    </w:rPr>
  </w:style>
  <w:style w:type="character" w:styleId="970" w:customStyle="1">
    <w:name w:val="Основной текст (4) + Не полужирный;Интервал 0 pt"/>
    <w:basedOn w:val="968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styleId="971" w:customStyle="1">
    <w:name w:val="Основной текст + 10;5 pt;Интервал 0 pt"/>
    <w:basedOn w:val="95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character" w:styleId="972" w:customStyle="1">
    <w:name w:val="Основной текст + 11;5 pt;Полужирный"/>
    <w:basedOn w:val="957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10"/>
      <w:position w:val="0"/>
      <w:sz w:val="23"/>
      <w:szCs w:val="23"/>
      <w:u w:val="none"/>
      <w:lang w:val="ru-RU" w:eastAsia="ru-RU" w:bidi="ru-RU"/>
    </w:rPr>
  </w:style>
  <w:style w:type="character" w:styleId="973" w:customStyle="1">
    <w:name w:val="Основной текст + Gulim;10;5 pt;Интервал 0 pt"/>
    <w:basedOn w:val="957"/>
    <w:rPr>
      <w:rFonts w:ascii="Gulim" w:hAnsi="Gulim" w:eastAsia="Gulim" w:cs="Gulim"/>
      <w:b w:val="0"/>
      <w:bCs w:val="0"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character" w:styleId="974" w:customStyle="1">
    <w:name w:val="Основной текст + CordiaUPC;16 pt;Интервал 0 pt"/>
    <w:basedOn w:val="957"/>
    <w:rPr>
      <w:rFonts w:ascii="CordiaUPC" w:hAnsi="CordiaUPC" w:eastAsia="CordiaUPC" w:cs="CordiaUPC"/>
      <w:b w:val="0"/>
      <w:bCs w:val="0"/>
      <w:i w:val="0"/>
      <w:iCs w:val="0"/>
      <w:smallCaps w:val="0"/>
      <w:strike w:val="0"/>
      <w:color w:val="000000"/>
      <w:spacing w:val="0"/>
      <w:position w:val="0"/>
      <w:sz w:val="32"/>
      <w:szCs w:val="32"/>
      <w:u w:val="none"/>
      <w:lang w:val="ru-RU" w:eastAsia="ru-RU" w:bidi="ru-RU"/>
    </w:rPr>
  </w:style>
  <w:style w:type="character" w:styleId="975" w:customStyle="1">
    <w:name w:val="Подпись к таблице_"/>
    <w:basedOn w:val="952"/>
    <w:link w:val="983"/>
    <w:rPr>
      <w:rFonts w:ascii="Gulim" w:hAnsi="Gulim" w:eastAsia="Gulim" w:cs="Gulim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styleId="976" w:customStyle="1">
    <w:name w:val="Основной текст (4) + 10;5 pt;Не полужирный;Интервал 0 pt"/>
    <w:basedOn w:val="968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character" w:styleId="977" w:customStyle="1">
    <w:name w:val="Основной текст (4) + 10 pt;Не полужирный;Интервал 0 pt"/>
    <w:basedOn w:val="968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paragraph" w:styleId="978" w:customStyle="1">
    <w:name w:val="Основной текст1"/>
    <w:basedOn w:val="951"/>
    <w:link w:val="957"/>
    <w:pPr>
      <w:spacing w:before="240" w:line="0" w:lineRule="atLeast"/>
      <w:shd w:val="clear" w:color="auto" w:fill="ffffff"/>
    </w:pPr>
    <w:rPr>
      <w:rFonts w:ascii="Times New Roman" w:hAnsi="Times New Roman" w:eastAsia="Times New Roman" w:cs="Times New Roman"/>
      <w:spacing w:val="10"/>
    </w:rPr>
  </w:style>
  <w:style w:type="paragraph" w:styleId="979" w:customStyle="1">
    <w:name w:val="Заголовок №1"/>
    <w:basedOn w:val="951"/>
    <w:link w:val="958"/>
    <w:pPr>
      <w:jc w:val="center"/>
      <w:spacing w:before="120" w:after="1440" w:line="0" w:lineRule="atLeast"/>
      <w:shd w:val="clear" w:color="auto" w:fill="ffffff"/>
      <w:outlineLvl w:val="0"/>
    </w:pPr>
    <w:rPr>
      <w:rFonts w:ascii="Times New Roman" w:hAnsi="Times New Roman" w:eastAsia="Times New Roman" w:cs="Times New Roman"/>
      <w:b/>
      <w:bCs/>
      <w:spacing w:val="20"/>
      <w:sz w:val="30"/>
      <w:szCs w:val="30"/>
    </w:rPr>
  </w:style>
  <w:style w:type="paragraph" w:styleId="980" w:customStyle="1">
    <w:name w:val="Основной текст (2)"/>
    <w:basedOn w:val="951"/>
    <w:link w:val="959"/>
    <w:pPr>
      <w:spacing w:before="1440" w:line="0" w:lineRule="atLeast"/>
      <w:shd w:val="clear" w:color="auto" w:fill="ffffff"/>
    </w:pPr>
    <w:rPr>
      <w:rFonts w:ascii="Calibri" w:hAnsi="Calibri" w:eastAsia="Calibri" w:cs="Calibri"/>
      <w:b/>
      <w:bCs/>
      <w:i/>
      <w:iCs/>
      <w:spacing w:val="-10"/>
      <w:sz w:val="32"/>
      <w:szCs w:val="32"/>
    </w:rPr>
  </w:style>
  <w:style w:type="paragraph" w:styleId="981" w:customStyle="1">
    <w:name w:val="Основной текст (3)"/>
    <w:basedOn w:val="951"/>
    <w:link w:val="961"/>
    <w:pPr>
      <w:spacing w:before="420" w:after="1080" w:line="269" w:lineRule="exact"/>
      <w:shd w:val="clear" w:color="auto" w:fill="ffffff"/>
    </w:pPr>
    <w:rPr>
      <w:rFonts w:ascii="Times New Roman" w:hAnsi="Times New Roman" w:eastAsia="Times New Roman" w:cs="Times New Roman"/>
      <w:i/>
      <w:iCs/>
      <w:sz w:val="22"/>
      <w:szCs w:val="22"/>
    </w:rPr>
  </w:style>
  <w:style w:type="paragraph" w:styleId="982" w:customStyle="1">
    <w:name w:val="Основной текст (4)"/>
    <w:basedOn w:val="951"/>
    <w:link w:val="968"/>
    <w:pPr>
      <w:jc w:val="center"/>
      <w:spacing w:before="540" w:after="960" w:line="298" w:lineRule="exact"/>
      <w:shd w:val="clear" w:color="auto" w:fill="ffffff"/>
    </w:pPr>
    <w:rPr>
      <w:rFonts w:ascii="Times New Roman" w:hAnsi="Times New Roman" w:eastAsia="Times New Roman" w:cs="Times New Roman"/>
      <w:b/>
      <w:bCs/>
      <w:spacing w:val="10"/>
      <w:sz w:val="23"/>
      <w:szCs w:val="23"/>
    </w:rPr>
  </w:style>
  <w:style w:type="paragraph" w:styleId="983" w:customStyle="1">
    <w:name w:val="Подпись к таблице"/>
    <w:basedOn w:val="951"/>
    <w:link w:val="975"/>
    <w:pPr>
      <w:spacing w:line="0" w:lineRule="atLeast"/>
      <w:shd w:val="clear" w:color="auto" w:fill="ffffff"/>
    </w:pPr>
    <w:rPr>
      <w:rFonts w:ascii="Gulim" w:hAnsi="Gulim" w:eastAsia="Gulim" w:cs="Gulim"/>
      <w:sz w:val="12"/>
      <w:szCs w:val="12"/>
    </w:rPr>
  </w:style>
  <w:style w:type="paragraph" w:styleId="984">
    <w:name w:val="Balloon Text"/>
    <w:basedOn w:val="951"/>
    <w:link w:val="985"/>
    <w:uiPriority w:val="99"/>
    <w:semiHidden/>
    <w:unhideWhenUsed/>
    <w:rPr>
      <w:rFonts w:ascii="Tahoma" w:hAnsi="Tahoma" w:cs="Tahoma"/>
      <w:sz w:val="16"/>
      <w:szCs w:val="16"/>
    </w:rPr>
  </w:style>
  <w:style w:type="character" w:styleId="985" w:customStyle="1">
    <w:name w:val="Текст выноски Знак"/>
    <w:basedOn w:val="952"/>
    <w:link w:val="984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986">
    <w:name w:val="List Paragraph"/>
    <w:basedOn w:val="951"/>
    <w:uiPriority w:val="34"/>
    <w:qFormat/>
    <w:pPr>
      <w:contextualSpacing/>
      <w:ind w:left="720"/>
    </w:pPr>
  </w:style>
  <w:style w:type="table" w:styleId="987">
    <w:name w:val="Table Grid"/>
    <w:basedOn w:val="95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88" w:customStyle="1">
    <w:name w:val="Сетка таблицы1"/>
    <w:basedOn w:val="953"/>
    <w:next w:val="987"/>
    <w:uiPriority w:val="59"/>
    <w:pPr>
      <w:widowControl/>
    </w:pPr>
    <w:rPr>
      <w:rFonts w:ascii="Times New Roman" w:hAnsi="Times New Roman" w:eastAsia="Times New Roman" w:cs="Times New Roman"/>
      <w:sz w:val="20"/>
      <w:szCs w:val="20"/>
      <w:lang w:bidi="ar-S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89" w:customStyle="1">
    <w:name w:val="ConsPlusNormal"/>
    <w:rPr>
      <w:rFonts w:ascii="Arial" w:hAnsi="Arial" w:cs="Arial" w:eastAsiaTheme="minorEastAsia"/>
      <w:sz w:val="20"/>
      <w:szCs w:val="20"/>
      <w:lang w:bidi="ar-SA"/>
    </w:rPr>
  </w:style>
  <w:style w:type="paragraph" w:styleId="990" w:customStyle="1">
    <w:name w:val="ConsPlusTitle"/>
    <w:uiPriority w:val="99"/>
    <w:rPr>
      <w:rFonts w:ascii="Arial" w:hAnsi="Arial" w:cs="Arial" w:eastAsiaTheme="minorEastAsia"/>
      <w:b/>
      <w:bCs/>
      <w:sz w:val="20"/>
      <w:szCs w:val="20"/>
      <w:lang w:bidi="ar-SA"/>
    </w:rPr>
  </w:style>
  <w:style w:type="paragraph" w:styleId="991">
    <w:name w:val="Header"/>
    <w:basedOn w:val="951"/>
    <w:link w:val="99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92" w:customStyle="1">
    <w:name w:val="Верхний колонтитул Знак"/>
    <w:basedOn w:val="952"/>
    <w:link w:val="991"/>
    <w:uiPriority w:val="99"/>
    <w:rPr>
      <w:color w:val="000000"/>
    </w:rPr>
  </w:style>
  <w:style w:type="paragraph" w:styleId="993">
    <w:name w:val="Footer"/>
    <w:basedOn w:val="951"/>
    <w:link w:val="99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94" w:customStyle="1">
    <w:name w:val="Нижний колонтитул Знак"/>
    <w:basedOn w:val="952"/>
    <w:link w:val="993"/>
    <w:uiPriority w:val="99"/>
    <w:rPr>
      <w:color w:val="000000"/>
    </w:rPr>
  </w:style>
  <w:style w:type="character" w:styleId="995" w:customStyle="1">
    <w:name w:val="Основной текст + 10 pt;Интервал 0 pt"/>
    <w:basedOn w:val="95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4"/>
      <w:position w:val="0"/>
      <w:sz w:val="20"/>
      <w:szCs w:val="20"/>
      <w:u w:val="none"/>
      <w:lang w:val="ru-RU" w:eastAsia="ru-RU" w:bidi="ru-RU"/>
    </w:rPr>
  </w:style>
  <w:style w:type="character" w:styleId="996" w:customStyle="1">
    <w:name w:val="Основной текст + 9 pt;Не полужирный;Интервал 0 pt"/>
    <w:basedOn w:val="957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8"/>
      <w:szCs w:val="18"/>
      <w:u w:val="none"/>
      <w:lang w:val="ru-RU" w:eastAsia="ru-RU" w:bidi="ru-RU"/>
    </w:rPr>
  </w:style>
  <w:style w:type="character" w:styleId="997" w:customStyle="1">
    <w:name w:val="Основной текст + Arial Narrow;7 pt;Интервал 0 pt"/>
    <w:basedOn w:val="957"/>
    <w:rPr>
      <w:rFonts w:ascii="Arial Narrow" w:hAnsi="Arial Narrow" w:eastAsia="Arial Narrow" w:cs="Arial Narrow"/>
      <w:b/>
      <w:bCs/>
      <w:i w:val="0"/>
      <w:iCs w:val="0"/>
      <w:smallCaps w:val="0"/>
      <w:strike w:val="0"/>
      <w:color w:val="000000"/>
      <w:spacing w:val="0"/>
      <w:position w:val="0"/>
      <w:sz w:val="14"/>
      <w:szCs w:val="14"/>
      <w:u w:val="none"/>
      <w:lang w:val="ru-RU" w:eastAsia="ru-RU" w:bidi="ru-RU"/>
    </w:rPr>
  </w:style>
  <w:style w:type="character" w:styleId="998">
    <w:name w:val="Strong"/>
    <w:basedOn w:val="952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wmf"/><Relationship Id="rId13" Type="http://schemas.openxmlformats.org/officeDocument/2006/relationships/hyperlink" Target="consultantplus://offline/ref=229603C182C8599DF6C3F454AA1ADB997B9896ED718B5BAA08C8AB2470B9F0373C79595BE0C64D0B9F6D02D15EhAu5E" TargetMode="External"/><Relationship Id="rId14" Type="http://schemas.openxmlformats.org/officeDocument/2006/relationships/hyperlink" Target="consultantplus://offline/ref=229603C182C8599DF6C3F454AA1ADB997B9994E8798A5BAA08C8AB2470B9F0373C79595BE0C64D0B9F6D02D15EhAu5E" TargetMode="External"/><Relationship Id="rId15" Type="http://schemas.openxmlformats.org/officeDocument/2006/relationships/hyperlink" Target="consultantplus://offline/ref=229603C182C8599DF6C3F454AA1ADB997B9A9CEC728F5BAA08C8AB2470B9F0373C79595BE0C64D0B9F6D02D15EhAu5E" TargetMode="External"/><Relationship Id="rId16" Type="http://schemas.openxmlformats.org/officeDocument/2006/relationships/hyperlink" Target="about:blank" TargetMode="External"/><Relationship Id="rId17" Type="http://schemas.openxmlformats.org/officeDocument/2006/relationships/hyperlink" Target="http://minstroy.nso.ru/page/547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2EE55A-7CD3-4552-8CB8-A72CCA895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Косинова Олеся Леонидовна</dc:creator>
  <cp:revision>5</cp:revision>
  <dcterms:created xsi:type="dcterms:W3CDTF">2023-12-15T08:59:00Z</dcterms:created>
  <dcterms:modified xsi:type="dcterms:W3CDTF">2024-11-25T07:53:32Z</dcterms:modified>
</cp:coreProperties>
</file>