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2"/>
        <w:jc w:val="center"/>
        <w:spacing w:after="0" w:line="240" w:lineRule="auto"/>
        <w:tabs>
          <w:tab w:val="left" w:pos="5285" w:leader="none"/>
          <w:tab w:val="left" w:pos="12197" w:leader="none"/>
          <w:tab w:val="left" w:pos="13229" w:leader="none"/>
          <w:tab w:val="left" w:pos="14261" w:leader="none"/>
        </w:tabs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Оперативные данные по фактическому производству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/>
          <w:color w:val="000000"/>
          <w:sz w:val="24"/>
          <w:szCs w:val="24"/>
          <w:lang w:eastAsia="ru-RU"/>
        </w:rPr>
      </w:r>
    </w:p>
    <w:p>
      <w:pPr>
        <w:pStyle w:val="832"/>
        <w:jc w:val="center"/>
        <w:spacing w:after="0" w:line="240" w:lineRule="auto"/>
        <w:tabs>
          <w:tab w:val="left" w:pos="5285" w:leader="none"/>
          <w:tab w:val="left" w:pos="10553" w:leader="none"/>
          <w:tab w:val="left" w:pos="12197" w:leader="none"/>
          <w:tab w:val="left" w:pos="13229" w:leader="none"/>
          <w:tab w:val="left" w:pos="14261" w:leader="none"/>
        </w:tabs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основных строительных материалов наиболее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/>
          <w:color w:val="000000"/>
          <w:sz w:val="24"/>
          <w:szCs w:val="24"/>
          <w:lang w:eastAsia="ru-RU"/>
        </w:rPr>
      </w:r>
    </w:p>
    <w:p>
      <w:pPr>
        <w:pStyle w:val="832"/>
        <w:jc w:val="center"/>
        <w:spacing w:after="0" w:line="240" w:lineRule="auto"/>
        <w:tabs>
          <w:tab w:val="left" w:pos="5285" w:leader="none"/>
          <w:tab w:val="left" w:pos="10553" w:leader="none"/>
          <w:tab w:val="left" w:pos="12197" w:leader="none"/>
          <w:tab w:val="left" w:pos="13229" w:leader="none"/>
          <w:tab w:val="left" w:pos="14261" w:leader="none"/>
        </w:tabs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крупных и средних предприятий стройиндустрии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/>
          <w:color w:val="000000"/>
          <w:sz w:val="24"/>
          <w:szCs w:val="24"/>
          <w:lang w:eastAsia="ru-RU"/>
        </w:rPr>
      </w:r>
    </w:p>
    <w:p>
      <w:pPr>
        <w:pStyle w:val="832"/>
        <w:jc w:val="center"/>
        <w:spacing w:after="0" w:line="240" w:lineRule="auto"/>
        <w:tabs>
          <w:tab w:val="left" w:pos="5285" w:leader="none"/>
          <w:tab w:val="left" w:pos="10553" w:leader="none"/>
          <w:tab w:val="left" w:pos="12197" w:leader="none"/>
          <w:tab w:val="left" w:pos="13229" w:leader="none"/>
          <w:tab w:val="left" w:pos="14261" w:leader="none"/>
        </w:tabs>
        <w:rPr>
          <w:rFonts w:ascii="Times New Roman" w:hAnsi="Times New Roman"/>
          <w:color w:val="000000"/>
          <w:sz w:val="24"/>
          <w:szCs w:val="24"/>
          <w:highlight w:val="none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Новосибирской области за январь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– декабрь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20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2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4 года</w:t>
      </w:r>
      <w:r>
        <w:rPr>
          <w:rFonts w:ascii="Times New Roman" w:hAnsi="Times New Roman"/>
          <w:color w:val="000000"/>
          <w:sz w:val="24"/>
          <w:szCs w:val="24"/>
          <w:highlight w:val="none"/>
          <w:lang w:eastAsia="ru-RU"/>
        </w:rPr>
      </w:r>
      <w:r>
        <w:rPr>
          <w:rFonts w:ascii="Times New Roman" w:hAnsi="Times New Roman"/>
          <w:color w:val="000000"/>
          <w:sz w:val="24"/>
          <w:szCs w:val="24"/>
          <w:highlight w:val="none"/>
          <w:lang w:eastAsia="ru-RU"/>
        </w:rPr>
      </w:r>
    </w:p>
    <w:p>
      <w:pPr>
        <w:jc w:val="center"/>
        <w:spacing w:after="0" w:line="240" w:lineRule="auto"/>
        <w:tabs>
          <w:tab w:val="left" w:pos="5285" w:leader="none"/>
          <w:tab w:val="left" w:pos="10553" w:leader="none"/>
          <w:tab w:val="left" w:pos="12197" w:leader="none"/>
          <w:tab w:val="left" w:pos="13229" w:leader="none"/>
          <w:tab w:val="left" w:pos="14261" w:leader="none"/>
        </w:tabs>
        <w:rPr>
          <w:rFonts w:ascii="Times New Roman" w:hAnsi="Times New Roman"/>
          <w:color w:val="000000"/>
          <w:sz w:val="24"/>
          <w:szCs w:val="24"/>
          <w:highlight w:val="none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highlight w:val="none"/>
          <w:lang w:eastAsia="ru-RU"/>
        </w:rPr>
      </w:r>
      <w:r>
        <w:rPr>
          <w:rFonts w:ascii="Times New Roman" w:hAnsi="Times New Roman"/>
          <w:color w:val="000000"/>
          <w:sz w:val="24"/>
          <w:szCs w:val="24"/>
          <w:highlight w:val="none"/>
          <w:lang w:eastAsia="ru-RU"/>
        </w:rPr>
      </w:r>
    </w:p>
    <w:tbl>
      <w:tblPr>
        <w:tblStyle w:val="688"/>
        <w:tblW w:w="0" w:type="auto"/>
        <w:tblInd w:w="709" w:type="dxa"/>
        <w:tblLook w:val="04A0" w:firstRow="1" w:lastRow="0" w:firstColumn="1" w:lastColumn="0" w:noHBand="0" w:noVBand="1"/>
      </w:tblPr>
      <w:tblGrid>
        <w:gridCol w:w="4425"/>
        <w:gridCol w:w="1245"/>
        <w:gridCol w:w="945"/>
        <w:gridCol w:w="945"/>
        <w:gridCol w:w="2055"/>
      </w:tblGrid>
      <w:tr>
        <w:tblPrEx/>
        <w:trPr>
          <w:trHeight w:val="78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 Наименование  предприятия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 Единица измерения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12 мес.</w:t>
              <w:br/>
              <w:t xml:space="preserve">2023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12 мес.</w:t>
              <w:br/>
              <w:t xml:space="preserve">2024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Темп роста, %</w:t>
              <w:br/>
              <w:t xml:space="preserve">(в соотн. 12 мес. 2024 к 12 мес. 2023)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52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1. СТЕНОВЫЕ МАТЕРИАЛЫ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млн.штук усл.кир.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617,21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643,34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104,23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 в том числе: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52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  ЯЧЕИСТЫЙ БЕТОН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млн.штук усл.кир.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315,20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359,49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114,05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52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  КИРПИЧ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млн.штук усл.кир.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292,56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275,85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94,29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52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  ГИПЕРПРЕССОВАНЫЙ КИРПИЧ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млн.штук усл.кир.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2,60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2,06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79,23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 ФУНДАМЕНТНЫЕ БЛОКИ (ФБС)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млн.штук 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6,85008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5,93657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86,66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2. НЕРУДНЫЕ МАТЕРИАЛЫ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тыс.куб.м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8656,47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8926,24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103,12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в том числе: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 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  ЩЕБЕНЬ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тыс.куб.м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5409,26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5660,16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104,64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3. ИЗВЕСТЬ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тыс.тонн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249,92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265,82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106,36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4. ЦЕМЕНТ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тыс.тонн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1396,59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1462,84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104,74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5. СБОРНЫЙ ЖЕЛЕЗОБЕТОН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тыс.куб.м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652,90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568,70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87,10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33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40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в том числе: 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spacing w:after="0" w:afterAutospacing="0" w:line="240" w:lineRule="auto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spacing w:after="0" w:afterAutospacing="0" w:line="240" w:lineRule="auto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spacing w:after="0" w:afterAutospacing="0" w:line="240" w:lineRule="auto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spacing w:after="0" w:afterAutospacing="0" w:line="240" w:lineRule="auto"/>
            </w:pPr>
            <w:r/>
            <w:r/>
          </w:p>
        </w:tc>
      </w:tr>
      <w:tr>
        <w:tblPrEx/>
        <w:trPr>
          <w:trHeight w:val="52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 ПАНЕЛИ ДЛЯ КРУПНОГО ДОМОСТРОЕНИЯ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тыс.куб.м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175,97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169,75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96,46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6. СЭНДВИЧ-ПАНЕЛИ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тыс.кв.м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4300,92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4683,71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108,90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7. САН.-ТЕХ. ИЗДЕЛИЯ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тыс.шт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915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867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94,75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8. СУХИЕ СТРОИТЕЛЬНЫЕ СМЕСИ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тыс.тонн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805,80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730,76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90,69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52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9. ДОРОЖНО ДЕКОРАТИВНАЯ ПЛИТКА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тыс.кв.м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17,59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20,09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114,23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10. КРАСКИ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тонн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3274,23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2645,87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80,81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11. ГРУНТОВКА, ПАСТА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тонн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16976,73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16361,54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96,38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12. ШПАТЛЕВКА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тыс.тонн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38,116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41,859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109,82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13. КРОВЕЛЬНЫЕ МАТЕРИАЛЫ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тыс.тонн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77,95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85,51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109,70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5" w:type="dxa"/>
            <w:vAlign w:val="center"/>
            <w:textDirection w:val="lrTb"/>
            <w:noWrap w:val="false"/>
          </w:tcPr>
          <w:p>
            <w:pPr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14. ПВХ ПРОФИЛЬ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тыс.тонн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25,50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26,20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55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88" w:lineRule="auto"/>
              <w:rPr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102,75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</w:tbl>
    <w:p>
      <w:pPr>
        <w:jc w:val="center"/>
        <w:spacing w:after="0" w:line="240" w:lineRule="auto"/>
        <w:tabs>
          <w:tab w:val="left" w:pos="5285" w:leader="none"/>
          <w:tab w:val="left" w:pos="10553" w:leader="none"/>
          <w:tab w:val="left" w:pos="12197" w:leader="none"/>
          <w:tab w:val="left" w:pos="13229" w:leader="none"/>
          <w:tab w:val="left" w:pos="14261" w:leader="none"/>
        </w:tabs>
        <w:rPr>
          <w:rFonts w:ascii="Times New Roman" w:hAnsi="Times New Roman"/>
          <w:color w:val="000000"/>
          <w:sz w:val="24"/>
          <w:szCs w:val="24"/>
          <w:highlight w:val="none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highlight w:val="none"/>
          <w:lang w:eastAsia="ru-RU"/>
        </w:rPr>
      </w:r>
      <w:r>
        <w:rPr>
          <w:rFonts w:ascii="Times New Roman" w:hAnsi="Times New Roman"/>
          <w:color w:val="000000"/>
          <w:sz w:val="24"/>
          <w:szCs w:val="24"/>
          <w:highlight w:val="none"/>
          <w:lang w:eastAsia="ru-RU"/>
        </w:rPr>
      </w:r>
      <w:r>
        <w:rPr>
          <w:rFonts w:ascii="Times New Roman" w:hAnsi="Times New Roman"/>
          <w:color w:val="000000"/>
          <w:sz w:val="24"/>
          <w:szCs w:val="24"/>
          <w:highlight w:val="none"/>
          <w:lang w:eastAsia="ru-RU"/>
        </w:rPr>
      </w:r>
    </w:p>
    <w:sectPr>
      <w:footnotePr/>
      <w:endnotePr/>
      <w:type w:val="nextPage"/>
      <w:pgSz w:w="11906" w:h="16838" w:orient="portrait"/>
      <w:pgMar w:top="567" w:right="567" w:bottom="567" w:left="56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50402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2"/>
    <w:next w:val="832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2"/>
    <w:next w:val="832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2"/>
    <w:next w:val="832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2"/>
    <w:next w:val="832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2"/>
    <w:next w:val="832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2"/>
    <w:next w:val="832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2"/>
    <w:next w:val="832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2"/>
    <w:next w:val="832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2"/>
    <w:next w:val="832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2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2"/>
    <w:next w:val="832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link w:val="674"/>
    <w:uiPriority w:val="10"/>
    <w:rPr>
      <w:sz w:val="48"/>
      <w:szCs w:val="48"/>
    </w:rPr>
  </w:style>
  <w:style w:type="paragraph" w:styleId="676">
    <w:name w:val="Subtitle"/>
    <w:basedOn w:val="832"/>
    <w:next w:val="832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link w:val="676"/>
    <w:uiPriority w:val="11"/>
    <w:rPr>
      <w:sz w:val="24"/>
      <w:szCs w:val="24"/>
    </w:rPr>
  </w:style>
  <w:style w:type="paragraph" w:styleId="678">
    <w:name w:val="Quote"/>
    <w:basedOn w:val="832"/>
    <w:next w:val="832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2"/>
    <w:next w:val="832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2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link w:val="682"/>
    <w:uiPriority w:val="99"/>
  </w:style>
  <w:style w:type="paragraph" w:styleId="684">
    <w:name w:val="Footer"/>
    <w:basedOn w:val="832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link w:val="684"/>
    <w:uiPriority w:val="99"/>
  </w:style>
  <w:style w:type="paragraph" w:styleId="686">
    <w:name w:val="Caption"/>
    <w:basedOn w:val="832"/>
    <w:next w:val="83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4">
    <w:name w:val="Hyperlink"/>
    <w:uiPriority w:val="99"/>
    <w:unhideWhenUsed/>
    <w:rPr>
      <w:color w:val="0000ff" w:themeColor="hyperlink"/>
      <w:u w:val="single"/>
    </w:rPr>
  </w:style>
  <w:style w:type="paragraph" w:styleId="815">
    <w:name w:val="footnote text"/>
    <w:basedOn w:val="832"/>
    <w:link w:val="816"/>
    <w:uiPriority w:val="99"/>
    <w:semiHidden/>
    <w:unhideWhenUsed/>
    <w:pPr>
      <w:spacing w:after="40" w:line="240" w:lineRule="auto"/>
    </w:pPr>
    <w:rPr>
      <w:sz w:val="18"/>
    </w:rPr>
  </w:style>
  <w:style w:type="character" w:styleId="816">
    <w:name w:val="Footnote Text Char"/>
    <w:link w:val="815"/>
    <w:uiPriority w:val="99"/>
    <w:rPr>
      <w:sz w:val="18"/>
    </w:rPr>
  </w:style>
  <w:style w:type="character" w:styleId="817">
    <w:name w:val="footnote reference"/>
    <w:uiPriority w:val="99"/>
    <w:unhideWhenUsed/>
    <w:rPr>
      <w:vertAlign w:val="superscript"/>
    </w:rPr>
  </w:style>
  <w:style w:type="paragraph" w:styleId="818">
    <w:name w:val="endnote text"/>
    <w:basedOn w:val="832"/>
    <w:link w:val="819"/>
    <w:uiPriority w:val="99"/>
    <w:semiHidden/>
    <w:unhideWhenUsed/>
    <w:pPr>
      <w:spacing w:after="0" w:line="240" w:lineRule="auto"/>
    </w:pPr>
    <w:rPr>
      <w:sz w:val="20"/>
    </w:rPr>
  </w:style>
  <w:style w:type="character" w:styleId="819">
    <w:name w:val="Endnote Text Char"/>
    <w:link w:val="818"/>
    <w:uiPriority w:val="99"/>
    <w:rPr>
      <w:sz w:val="20"/>
    </w:rPr>
  </w:style>
  <w:style w:type="character" w:styleId="820">
    <w:name w:val="endnote reference"/>
    <w:uiPriority w:val="99"/>
    <w:semiHidden/>
    <w:unhideWhenUsed/>
    <w:rPr>
      <w:vertAlign w:val="superscript"/>
    </w:rPr>
  </w:style>
  <w:style w:type="paragraph" w:styleId="821">
    <w:name w:val="toc 1"/>
    <w:basedOn w:val="832"/>
    <w:next w:val="832"/>
    <w:uiPriority w:val="39"/>
    <w:unhideWhenUsed/>
    <w:pPr>
      <w:ind w:left="0" w:right="0" w:firstLine="0"/>
      <w:spacing w:after="57"/>
    </w:pPr>
  </w:style>
  <w:style w:type="paragraph" w:styleId="822">
    <w:name w:val="toc 2"/>
    <w:basedOn w:val="832"/>
    <w:next w:val="832"/>
    <w:uiPriority w:val="39"/>
    <w:unhideWhenUsed/>
    <w:pPr>
      <w:ind w:left="283" w:right="0" w:firstLine="0"/>
      <w:spacing w:after="57"/>
    </w:pPr>
  </w:style>
  <w:style w:type="paragraph" w:styleId="823">
    <w:name w:val="toc 3"/>
    <w:basedOn w:val="832"/>
    <w:next w:val="832"/>
    <w:uiPriority w:val="39"/>
    <w:unhideWhenUsed/>
    <w:pPr>
      <w:ind w:left="567" w:right="0" w:firstLine="0"/>
      <w:spacing w:after="57"/>
    </w:pPr>
  </w:style>
  <w:style w:type="paragraph" w:styleId="824">
    <w:name w:val="toc 4"/>
    <w:basedOn w:val="832"/>
    <w:next w:val="832"/>
    <w:uiPriority w:val="39"/>
    <w:unhideWhenUsed/>
    <w:pPr>
      <w:ind w:left="850" w:right="0" w:firstLine="0"/>
      <w:spacing w:after="57"/>
    </w:pPr>
  </w:style>
  <w:style w:type="paragraph" w:styleId="825">
    <w:name w:val="toc 5"/>
    <w:basedOn w:val="832"/>
    <w:next w:val="832"/>
    <w:uiPriority w:val="39"/>
    <w:unhideWhenUsed/>
    <w:pPr>
      <w:ind w:left="1134" w:right="0" w:firstLine="0"/>
      <w:spacing w:after="57"/>
    </w:pPr>
  </w:style>
  <w:style w:type="paragraph" w:styleId="826">
    <w:name w:val="toc 6"/>
    <w:basedOn w:val="832"/>
    <w:next w:val="832"/>
    <w:uiPriority w:val="39"/>
    <w:unhideWhenUsed/>
    <w:pPr>
      <w:ind w:left="1417" w:right="0" w:firstLine="0"/>
      <w:spacing w:after="57"/>
    </w:pPr>
  </w:style>
  <w:style w:type="paragraph" w:styleId="827">
    <w:name w:val="toc 7"/>
    <w:basedOn w:val="832"/>
    <w:next w:val="832"/>
    <w:uiPriority w:val="39"/>
    <w:unhideWhenUsed/>
    <w:pPr>
      <w:ind w:left="1701" w:right="0" w:firstLine="0"/>
      <w:spacing w:after="57"/>
    </w:pPr>
  </w:style>
  <w:style w:type="paragraph" w:styleId="828">
    <w:name w:val="toc 8"/>
    <w:basedOn w:val="832"/>
    <w:next w:val="832"/>
    <w:uiPriority w:val="39"/>
    <w:unhideWhenUsed/>
    <w:pPr>
      <w:ind w:left="1984" w:right="0" w:firstLine="0"/>
      <w:spacing w:after="57"/>
    </w:pPr>
  </w:style>
  <w:style w:type="paragraph" w:styleId="829">
    <w:name w:val="toc 9"/>
    <w:basedOn w:val="832"/>
    <w:next w:val="832"/>
    <w:uiPriority w:val="39"/>
    <w:unhideWhenUsed/>
    <w:pPr>
      <w:ind w:left="2268" w:right="0" w:firstLine="0"/>
      <w:spacing w:after="57"/>
    </w:pPr>
  </w:style>
  <w:style w:type="paragraph" w:styleId="830">
    <w:name w:val="TOC Heading"/>
    <w:uiPriority w:val="39"/>
    <w:unhideWhenUsed/>
  </w:style>
  <w:style w:type="paragraph" w:styleId="831">
    <w:name w:val="table of figures"/>
    <w:basedOn w:val="832"/>
    <w:next w:val="832"/>
    <w:uiPriority w:val="99"/>
    <w:unhideWhenUsed/>
    <w:pPr>
      <w:spacing w:after="0" w:afterAutospacing="0"/>
    </w:pPr>
  </w:style>
  <w:style w:type="paragraph" w:styleId="832" w:default="1">
    <w:name w:val="Normal"/>
    <w:next w:val="832"/>
    <w:link w:val="832"/>
    <w:qFormat/>
    <w:pPr>
      <w:spacing w:after="200" w:line="276" w:lineRule="auto"/>
    </w:pPr>
    <w:rPr>
      <w:sz w:val="22"/>
      <w:szCs w:val="22"/>
      <w:lang w:val="ru-RU" w:eastAsia="en-US" w:bidi="ar-SA"/>
    </w:rPr>
  </w:style>
  <w:style w:type="character" w:styleId="833">
    <w:name w:val="Основной шрифт абзаца"/>
    <w:next w:val="833"/>
    <w:link w:val="832"/>
    <w:uiPriority w:val="1"/>
    <w:semiHidden/>
    <w:unhideWhenUsed/>
  </w:style>
  <w:style w:type="table" w:styleId="834">
    <w:name w:val="Обычная таблица"/>
    <w:next w:val="834"/>
    <w:link w:val="832"/>
    <w:uiPriority w:val="99"/>
    <w:semiHidden/>
    <w:unhideWhenUsed/>
    <w:tblPr/>
  </w:style>
  <w:style w:type="numbering" w:styleId="835">
    <w:name w:val="Нет списка"/>
    <w:next w:val="835"/>
    <w:link w:val="832"/>
    <w:uiPriority w:val="99"/>
    <w:semiHidden/>
    <w:unhideWhenUsed/>
  </w:style>
  <w:style w:type="paragraph" w:styleId="836">
    <w:name w:val="Текст выноски"/>
    <w:basedOn w:val="832"/>
    <w:next w:val="836"/>
    <w:link w:val="83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37">
    <w:name w:val="Текст выноски Знак"/>
    <w:next w:val="837"/>
    <w:link w:val="836"/>
    <w:uiPriority w:val="99"/>
    <w:semiHidden/>
    <w:rPr>
      <w:rFonts w:ascii="Segoe UI" w:hAnsi="Segoe UI" w:cs="Segoe UI"/>
      <w:sz w:val="18"/>
      <w:szCs w:val="18"/>
      <w:lang w:eastAsia="en-US"/>
    </w:rPr>
  </w:style>
  <w:style w:type="character" w:styleId="838" w:default="1">
    <w:name w:val="Default Paragraph Font"/>
    <w:uiPriority w:val="1"/>
    <w:semiHidden/>
    <w:unhideWhenUsed/>
  </w:style>
  <w:style w:type="numbering" w:styleId="839" w:default="1">
    <w:name w:val="No List"/>
    <w:uiPriority w:val="99"/>
    <w:semiHidden/>
    <w:unhideWhenUsed/>
  </w:style>
  <w:style w:type="table" w:styleId="840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Самсонова Елена Владимировна</dc:creator>
  <cp:revision>39</cp:revision>
  <dcterms:created xsi:type="dcterms:W3CDTF">2023-05-26T08:26:00Z</dcterms:created>
  <dcterms:modified xsi:type="dcterms:W3CDTF">2025-02-20T07:46:15Z</dcterms:modified>
  <cp:version>1048576</cp:version>
</cp:coreProperties>
</file>